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600" w:rsidRDefault="008E4600" w:rsidP="009D22CB">
      <w:pPr>
        <w:rPr>
          <w:b/>
        </w:rPr>
      </w:pPr>
      <w:bookmarkStart w:id="0" w:name="_GoBack"/>
      <w:bookmarkEnd w:id="0"/>
    </w:p>
    <w:p w:rsidR="008E4600" w:rsidRDefault="008E4600" w:rsidP="009D22CB">
      <w:pPr>
        <w:rPr>
          <w:b/>
        </w:rPr>
      </w:pPr>
    </w:p>
    <w:p w:rsidR="008E4600" w:rsidRDefault="008E4600" w:rsidP="009D22CB">
      <w:pPr>
        <w:rPr>
          <w:b/>
        </w:rPr>
      </w:pPr>
    </w:p>
    <w:p w:rsidR="008E4600" w:rsidRDefault="008E4600" w:rsidP="009D22CB">
      <w:pPr>
        <w:rPr>
          <w:b/>
        </w:rPr>
      </w:pPr>
    </w:p>
    <w:p w:rsidR="004D7E43" w:rsidRDefault="004D7E43" w:rsidP="009D22CB">
      <w:pPr>
        <w:rPr>
          <w:b/>
        </w:rPr>
      </w:pPr>
    </w:p>
    <w:p w:rsidR="004D7E43" w:rsidRDefault="004D7E43" w:rsidP="009D22CB">
      <w:pPr>
        <w:rPr>
          <w:b/>
        </w:rPr>
      </w:pPr>
    </w:p>
    <w:p w:rsidR="004D7E43" w:rsidRDefault="004D7E43" w:rsidP="009D22CB">
      <w:pPr>
        <w:rPr>
          <w:b/>
        </w:rPr>
      </w:pPr>
    </w:p>
    <w:p w:rsidR="004D7E43" w:rsidRDefault="004D7E43" w:rsidP="009D22CB">
      <w:pPr>
        <w:rPr>
          <w:b/>
        </w:rPr>
      </w:pPr>
    </w:p>
    <w:p w:rsidR="004D7E43" w:rsidRDefault="004D7E43" w:rsidP="009D22CB">
      <w:pPr>
        <w:rPr>
          <w:b/>
        </w:rPr>
      </w:pPr>
    </w:p>
    <w:p w:rsidR="004D7E43" w:rsidRDefault="004D7E43" w:rsidP="009D22CB">
      <w:pPr>
        <w:rPr>
          <w:b/>
        </w:rPr>
      </w:pPr>
    </w:p>
    <w:p w:rsidR="004D7E43" w:rsidRDefault="004D7E43" w:rsidP="009D22CB">
      <w:pPr>
        <w:rPr>
          <w:b/>
        </w:rPr>
      </w:pPr>
    </w:p>
    <w:p w:rsidR="008E4600" w:rsidRDefault="008E4600" w:rsidP="009D22CB">
      <w:pPr>
        <w:rPr>
          <w:b/>
        </w:rPr>
      </w:pPr>
    </w:p>
    <w:p w:rsidR="008E4600" w:rsidRDefault="008E4600" w:rsidP="009D22CB">
      <w:pPr>
        <w:rPr>
          <w:b/>
        </w:rPr>
      </w:pPr>
    </w:p>
    <w:p w:rsidR="008E4600" w:rsidRDefault="008E4600" w:rsidP="009D22CB">
      <w:pPr>
        <w:rPr>
          <w:b/>
        </w:rPr>
      </w:pPr>
    </w:p>
    <w:p w:rsidR="004D7E43" w:rsidRDefault="004D7E43" w:rsidP="008E4600">
      <w:pPr>
        <w:jc w:val="center"/>
        <w:rPr>
          <w:b/>
        </w:rPr>
      </w:pPr>
    </w:p>
    <w:p w:rsidR="008E4600" w:rsidRDefault="008E4600" w:rsidP="008E4600">
      <w:pPr>
        <w:jc w:val="center"/>
        <w:rPr>
          <w:b/>
        </w:rPr>
      </w:pPr>
    </w:p>
    <w:p w:rsidR="008E4600" w:rsidRDefault="009211A5" w:rsidP="008E4600">
      <w:pPr>
        <w:jc w:val="center"/>
        <w:rPr>
          <w:b/>
        </w:rPr>
      </w:pPr>
      <w:r>
        <w:rPr>
          <w:b/>
          <w:noProof/>
        </w:rPr>
        <w:drawing>
          <wp:inline distT="0" distB="0" distL="0" distR="0" wp14:anchorId="35428940" wp14:editId="54983869">
            <wp:extent cx="4640580" cy="708660"/>
            <wp:effectExtent l="0" t="0" r="7620" b="0"/>
            <wp:docPr id="14" name="Picture 14" descr="pc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c_color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708660"/>
                    </a:xfrm>
                    <a:prstGeom prst="rect">
                      <a:avLst/>
                    </a:prstGeom>
                    <a:noFill/>
                    <a:ln>
                      <a:noFill/>
                    </a:ln>
                  </pic:spPr>
                </pic:pic>
              </a:graphicData>
            </a:graphic>
          </wp:inline>
        </w:drawing>
      </w:r>
    </w:p>
    <w:p w:rsidR="008E4600" w:rsidRDefault="008E4600" w:rsidP="008E4600">
      <w:pPr>
        <w:jc w:val="center"/>
        <w:rPr>
          <w:b/>
        </w:rPr>
      </w:pPr>
    </w:p>
    <w:p w:rsidR="004D7E43" w:rsidRDefault="004D7E43" w:rsidP="008E4600">
      <w:pPr>
        <w:jc w:val="center"/>
        <w:rPr>
          <w:b/>
          <w:sz w:val="48"/>
          <w:szCs w:val="48"/>
        </w:rPr>
      </w:pPr>
    </w:p>
    <w:p w:rsidR="008E4600" w:rsidRDefault="008E4600" w:rsidP="008E4600">
      <w:pPr>
        <w:jc w:val="center"/>
        <w:rPr>
          <w:b/>
          <w:sz w:val="48"/>
          <w:szCs w:val="48"/>
        </w:rPr>
      </w:pPr>
      <w:r>
        <w:rPr>
          <w:b/>
          <w:sz w:val="48"/>
          <w:szCs w:val="48"/>
        </w:rPr>
        <w:t>FINANCIAL REPORT</w:t>
      </w:r>
    </w:p>
    <w:p w:rsidR="004D7E43" w:rsidRDefault="004D7E43" w:rsidP="008E4600">
      <w:pPr>
        <w:jc w:val="center"/>
        <w:rPr>
          <w:b/>
          <w:sz w:val="32"/>
          <w:szCs w:val="32"/>
        </w:rPr>
      </w:pPr>
    </w:p>
    <w:p w:rsidR="004D7E43" w:rsidRDefault="004D7E43" w:rsidP="008E4600">
      <w:pPr>
        <w:jc w:val="center"/>
        <w:rPr>
          <w:b/>
          <w:sz w:val="32"/>
          <w:szCs w:val="32"/>
        </w:rPr>
      </w:pPr>
    </w:p>
    <w:p w:rsidR="004D7E43" w:rsidRDefault="004D7E43" w:rsidP="008E4600">
      <w:pPr>
        <w:jc w:val="center"/>
        <w:rPr>
          <w:b/>
          <w:sz w:val="32"/>
          <w:szCs w:val="32"/>
        </w:rPr>
      </w:pPr>
    </w:p>
    <w:p w:rsidR="004D7E43" w:rsidRDefault="004D7E43" w:rsidP="008E4600">
      <w:pPr>
        <w:jc w:val="center"/>
        <w:rPr>
          <w:b/>
          <w:sz w:val="32"/>
          <w:szCs w:val="32"/>
        </w:rPr>
      </w:pPr>
    </w:p>
    <w:p w:rsidR="004D7E43" w:rsidRDefault="004D7E43" w:rsidP="008E4600">
      <w:pPr>
        <w:jc w:val="center"/>
        <w:rPr>
          <w:b/>
          <w:sz w:val="32"/>
          <w:szCs w:val="32"/>
        </w:rPr>
      </w:pPr>
      <w:r>
        <w:rPr>
          <w:b/>
          <w:sz w:val="32"/>
          <w:szCs w:val="32"/>
        </w:rPr>
        <w:t>For Fiscal Year Ended</w:t>
      </w:r>
    </w:p>
    <w:p w:rsidR="004D7E43" w:rsidRDefault="004D7E43" w:rsidP="008E4600">
      <w:pPr>
        <w:jc w:val="center"/>
        <w:rPr>
          <w:b/>
          <w:sz w:val="32"/>
          <w:szCs w:val="32"/>
        </w:rPr>
      </w:pPr>
      <w:r>
        <w:rPr>
          <w:b/>
          <w:sz w:val="32"/>
          <w:szCs w:val="32"/>
        </w:rPr>
        <w:t>June 30, 2014</w:t>
      </w:r>
    </w:p>
    <w:p w:rsidR="004D7E43" w:rsidRDefault="004D7E43" w:rsidP="008E4600">
      <w:pPr>
        <w:jc w:val="center"/>
        <w:rPr>
          <w:b/>
          <w:sz w:val="32"/>
          <w:szCs w:val="32"/>
        </w:rPr>
      </w:pPr>
    </w:p>
    <w:p w:rsidR="004D7E43" w:rsidRDefault="004D7E43" w:rsidP="008E4600">
      <w:pPr>
        <w:jc w:val="center"/>
        <w:rPr>
          <w:b/>
          <w:sz w:val="32"/>
          <w:szCs w:val="32"/>
        </w:rPr>
      </w:pPr>
    </w:p>
    <w:p w:rsidR="004D7E43" w:rsidRDefault="004D7E43">
      <w:pPr>
        <w:rPr>
          <w:b/>
          <w:sz w:val="32"/>
          <w:szCs w:val="32"/>
        </w:rPr>
      </w:pPr>
      <w:r>
        <w:rPr>
          <w:b/>
          <w:sz w:val="32"/>
          <w:szCs w:val="32"/>
        </w:rPr>
        <w:br w:type="page"/>
      </w:r>
    </w:p>
    <w:p w:rsidR="00113B57" w:rsidRPr="00AE4298" w:rsidRDefault="004D7E43" w:rsidP="009D22CB">
      <w:pPr>
        <w:rPr>
          <w:b/>
        </w:rPr>
      </w:pPr>
      <w:r>
        <w:rPr>
          <w:b/>
        </w:rPr>
        <w:lastRenderedPageBreak/>
        <w:t>2</w:t>
      </w:r>
      <w:r w:rsidR="005A568B">
        <w:rPr>
          <w:b/>
        </w:rPr>
        <w:t>014</w:t>
      </w:r>
    </w:p>
    <w:p w:rsidR="00395C84" w:rsidRDefault="00113B57" w:rsidP="009D22CB">
      <w:pPr>
        <w:rPr>
          <w:b/>
        </w:rPr>
      </w:pPr>
      <w:r w:rsidRPr="00AE4298">
        <w:rPr>
          <w:b/>
        </w:rPr>
        <w:t>Financial Report</w:t>
      </w:r>
    </w:p>
    <w:p w:rsidR="007C6597" w:rsidRDefault="007C6597" w:rsidP="007C6597">
      <w:pPr>
        <w:pStyle w:val="NoSpacing"/>
      </w:pPr>
    </w:p>
    <w:p w:rsidR="007C6597" w:rsidRDefault="007C6597" w:rsidP="009D22CB">
      <w:pPr>
        <w:rPr>
          <w:b/>
        </w:rPr>
      </w:pPr>
    </w:p>
    <w:p w:rsidR="007C6597" w:rsidRPr="00AE4298" w:rsidRDefault="007C6597" w:rsidP="009D22CB">
      <w:pPr>
        <w:rPr>
          <w:b/>
        </w:rPr>
      </w:pPr>
      <w:r>
        <w:rPr>
          <w:b/>
        </w:rPr>
        <w:t>Table of Contents</w:t>
      </w:r>
    </w:p>
    <w:p w:rsidR="00113B57" w:rsidRPr="00C13603" w:rsidRDefault="00113B57" w:rsidP="009D22CB">
      <w:pPr>
        <w:rPr>
          <w:highlight w:val="yellow"/>
        </w:rPr>
      </w:pPr>
    </w:p>
    <w:p w:rsidR="00344123" w:rsidRDefault="006813FD">
      <w:pPr>
        <w:pStyle w:val="TOC1"/>
        <w:tabs>
          <w:tab w:val="right" w:leader="dot" w:pos="9350"/>
        </w:tabs>
        <w:rPr>
          <w:rFonts w:asciiTheme="minorHAnsi" w:eastAsiaTheme="minorEastAsia" w:hAnsiTheme="minorHAnsi"/>
          <w:noProof/>
          <w:sz w:val="22"/>
          <w:szCs w:val="22"/>
        </w:rPr>
      </w:pPr>
      <w:r>
        <w:fldChar w:fldCharType="begin"/>
      </w:r>
      <w:r>
        <w:instrText xml:space="preserve"> TOC \o "1-1" \h \z \u </w:instrText>
      </w:r>
      <w:r>
        <w:fldChar w:fldCharType="separate"/>
      </w:r>
      <w:hyperlink w:anchor="_Toc370714739" w:history="1">
        <w:r w:rsidR="00344123" w:rsidRPr="00887319">
          <w:rPr>
            <w:rStyle w:val="Hyperlink"/>
            <w:noProof/>
          </w:rPr>
          <w:t>Trustees and Administrative Officers</w:t>
        </w:r>
        <w:r w:rsidR="00344123">
          <w:rPr>
            <w:noProof/>
            <w:webHidden/>
          </w:rPr>
          <w:tab/>
        </w:r>
        <w:r w:rsidR="00344123">
          <w:rPr>
            <w:noProof/>
            <w:webHidden/>
          </w:rPr>
          <w:fldChar w:fldCharType="begin"/>
        </w:r>
        <w:r w:rsidR="00344123">
          <w:rPr>
            <w:noProof/>
            <w:webHidden/>
          </w:rPr>
          <w:instrText xml:space="preserve"> PAGEREF _Toc370714739 \h </w:instrText>
        </w:r>
        <w:r w:rsidR="00344123">
          <w:rPr>
            <w:noProof/>
            <w:webHidden/>
          </w:rPr>
        </w:r>
        <w:r w:rsidR="00344123">
          <w:rPr>
            <w:noProof/>
            <w:webHidden/>
          </w:rPr>
          <w:fldChar w:fldCharType="separate"/>
        </w:r>
        <w:r w:rsidR="00110F9C">
          <w:rPr>
            <w:noProof/>
            <w:webHidden/>
          </w:rPr>
          <w:t>2</w:t>
        </w:r>
        <w:r w:rsidR="00344123">
          <w:rPr>
            <w:noProof/>
            <w:webHidden/>
          </w:rPr>
          <w:fldChar w:fldCharType="end"/>
        </w:r>
      </w:hyperlink>
    </w:p>
    <w:p w:rsidR="00A94C5D" w:rsidRDefault="00F80857" w:rsidP="00A94C5D">
      <w:pPr>
        <w:pStyle w:val="TOC1"/>
        <w:tabs>
          <w:tab w:val="right" w:leader="dot" w:pos="9350"/>
        </w:tabs>
        <w:rPr>
          <w:rFonts w:asciiTheme="minorHAnsi" w:eastAsiaTheme="minorEastAsia" w:hAnsiTheme="minorHAnsi"/>
          <w:noProof/>
          <w:sz w:val="22"/>
          <w:szCs w:val="22"/>
        </w:rPr>
      </w:pPr>
      <w:hyperlink w:anchor="_Toc370714742" w:history="1">
        <w:r w:rsidR="00A94C5D" w:rsidRPr="00887319">
          <w:rPr>
            <w:rStyle w:val="Hyperlink"/>
            <w:noProof/>
          </w:rPr>
          <w:t>Independent Auditor’s Report on Financial Statements</w:t>
        </w:r>
        <w:r w:rsidR="00A94C5D">
          <w:rPr>
            <w:noProof/>
            <w:webHidden/>
          </w:rPr>
          <w:tab/>
        </w:r>
      </w:hyperlink>
      <w:r w:rsidR="00E04F7E">
        <w:rPr>
          <w:noProof/>
        </w:rPr>
        <w:t>3</w:t>
      </w:r>
    </w:p>
    <w:p w:rsidR="00344123" w:rsidRDefault="00F80857">
      <w:pPr>
        <w:pStyle w:val="TOC1"/>
        <w:tabs>
          <w:tab w:val="right" w:leader="dot" w:pos="9350"/>
        </w:tabs>
        <w:rPr>
          <w:rFonts w:asciiTheme="minorHAnsi" w:eastAsiaTheme="minorEastAsia" w:hAnsiTheme="minorHAnsi"/>
          <w:noProof/>
          <w:sz w:val="22"/>
          <w:szCs w:val="22"/>
        </w:rPr>
      </w:pPr>
      <w:hyperlink w:anchor="_Toc370714741" w:history="1">
        <w:r w:rsidR="00344123" w:rsidRPr="00887319">
          <w:rPr>
            <w:rStyle w:val="Hyperlink"/>
            <w:noProof/>
          </w:rPr>
          <w:t>Management’s Discussion and Analysis</w:t>
        </w:r>
        <w:r w:rsidR="00344123">
          <w:rPr>
            <w:noProof/>
            <w:webHidden/>
          </w:rPr>
          <w:tab/>
        </w:r>
      </w:hyperlink>
      <w:r w:rsidR="00E26903">
        <w:rPr>
          <w:noProof/>
        </w:rPr>
        <w:t>6</w:t>
      </w:r>
    </w:p>
    <w:p w:rsidR="00344123" w:rsidRDefault="00F80857">
      <w:pPr>
        <w:pStyle w:val="TOC1"/>
        <w:tabs>
          <w:tab w:val="right" w:leader="dot" w:pos="9350"/>
        </w:tabs>
        <w:rPr>
          <w:rFonts w:asciiTheme="minorHAnsi" w:eastAsiaTheme="minorEastAsia" w:hAnsiTheme="minorHAnsi"/>
          <w:noProof/>
          <w:sz w:val="22"/>
          <w:szCs w:val="22"/>
        </w:rPr>
      </w:pPr>
      <w:hyperlink w:anchor="_Toc370714743" w:history="1">
        <w:r w:rsidR="00344123" w:rsidRPr="00887319">
          <w:rPr>
            <w:rStyle w:val="Hyperlink"/>
            <w:noProof/>
          </w:rPr>
          <w:t>College Statement of Net Position</w:t>
        </w:r>
        <w:r w:rsidR="00344123">
          <w:rPr>
            <w:noProof/>
            <w:webHidden/>
          </w:rPr>
          <w:tab/>
        </w:r>
        <w:r w:rsidR="00344123">
          <w:rPr>
            <w:noProof/>
            <w:webHidden/>
          </w:rPr>
          <w:fldChar w:fldCharType="begin"/>
        </w:r>
        <w:r w:rsidR="00344123">
          <w:rPr>
            <w:noProof/>
            <w:webHidden/>
          </w:rPr>
          <w:instrText xml:space="preserve"> PAGEREF _Toc370714743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4</w:t>
      </w:r>
    </w:p>
    <w:p w:rsidR="00344123" w:rsidRDefault="00F80857">
      <w:pPr>
        <w:pStyle w:val="TOC1"/>
        <w:tabs>
          <w:tab w:val="right" w:leader="dot" w:pos="9350"/>
        </w:tabs>
        <w:rPr>
          <w:rFonts w:asciiTheme="minorHAnsi" w:eastAsiaTheme="minorEastAsia" w:hAnsiTheme="minorHAnsi"/>
          <w:noProof/>
          <w:sz w:val="22"/>
          <w:szCs w:val="22"/>
        </w:rPr>
      </w:pPr>
      <w:hyperlink w:anchor="_Toc370714744" w:history="1">
        <w:r w:rsidR="00344123" w:rsidRPr="00887319">
          <w:rPr>
            <w:rStyle w:val="Hyperlink"/>
            <w:noProof/>
          </w:rPr>
          <w:t>College Sta</w:t>
        </w:r>
        <w:r w:rsidR="00660F9E">
          <w:rPr>
            <w:rStyle w:val="Hyperlink"/>
            <w:noProof/>
          </w:rPr>
          <w:t>tement of Revenues, Expenses</w:t>
        </w:r>
        <w:r w:rsidR="00344123" w:rsidRPr="00887319">
          <w:rPr>
            <w:rStyle w:val="Hyperlink"/>
            <w:noProof/>
          </w:rPr>
          <w:t xml:space="preserve"> and Changes in Net Position</w:t>
        </w:r>
        <w:r w:rsidR="00344123">
          <w:rPr>
            <w:noProof/>
            <w:webHidden/>
          </w:rPr>
          <w:tab/>
        </w:r>
        <w:r w:rsidR="00344123">
          <w:rPr>
            <w:noProof/>
            <w:webHidden/>
          </w:rPr>
          <w:fldChar w:fldCharType="begin"/>
        </w:r>
        <w:r w:rsidR="00344123">
          <w:rPr>
            <w:noProof/>
            <w:webHidden/>
          </w:rPr>
          <w:instrText xml:space="preserve"> PAGEREF _Toc370714744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5</w:t>
      </w:r>
    </w:p>
    <w:p w:rsidR="00344123" w:rsidRDefault="00F80857">
      <w:pPr>
        <w:pStyle w:val="TOC1"/>
        <w:tabs>
          <w:tab w:val="right" w:leader="dot" w:pos="9350"/>
        </w:tabs>
        <w:rPr>
          <w:rFonts w:asciiTheme="minorHAnsi" w:eastAsiaTheme="minorEastAsia" w:hAnsiTheme="minorHAnsi"/>
          <w:noProof/>
          <w:sz w:val="22"/>
          <w:szCs w:val="22"/>
        </w:rPr>
      </w:pPr>
      <w:hyperlink w:anchor="_Toc370714745" w:history="1">
        <w:r w:rsidR="00344123" w:rsidRPr="00887319">
          <w:rPr>
            <w:rStyle w:val="Hyperlink"/>
            <w:noProof/>
          </w:rPr>
          <w:t>College Statement of Cash Flows</w:t>
        </w:r>
        <w:r w:rsidR="00344123">
          <w:rPr>
            <w:noProof/>
            <w:webHidden/>
          </w:rPr>
          <w:tab/>
        </w:r>
        <w:r w:rsidR="00344123">
          <w:rPr>
            <w:noProof/>
            <w:webHidden/>
          </w:rPr>
          <w:fldChar w:fldCharType="begin"/>
        </w:r>
        <w:r w:rsidR="00344123">
          <w:rPr>
            <w:noProof/>
            <w:webHidden/>
          </w:rPr>
          <w:instrText xml:space="preserve"> PAGEREF _Toc370714745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6</w:t>
      </w:r>
    </w:p>
    <w:p w:rsidR="00344123" w:rsidRDefault="00F80857">
      <w:pPr>
        <w:pStyle w:val="TOC1"/>
        <w:tabs>
          <w:tab w:val="right" w:leader="dot" w:pos="9350"/>
        </w:tabs>
        <w:rPr>
          <w:rFonts w:asciiTheme="minorHAnsi" w:eastAsiaTheme="minorEastAsia" w:hAnsiTheme="minorHAnsi"/>
          <w:noProof/>
          <w:sz w:val="22"/>
          <w:szCs w:val="22"/>
        </w:rPr>
      </w:pPr>
      <w:hyperlink w:anchor="_Toc370714746" w:history="1">
        <w:r w:rsidR="00344123" w:rsidRPr="00887319">
          <w:rPr>
            <w:rStyle w:val="Hyperlink"/>
            <w:noProof/>
          </w:rPr>
          <w:t>Foundation Statement of Financial Position</w:t>
        </w:r>
        <w:r w:rsidR="00344123">
          <w:rPr>
            <w:noProof/>
            <w:webHidden/>
          </w:rPr>
          <w:tab/>
        </w:r>
        <w:r w:rsidR="00344123">
          <w:rPr>
            <w:noProof/>
            <w:webHidden/>
          </w:rPr>
          <w:fldChar w:fldCharType="begin"/>
        </w:r>
        <w:r w:rsidR="00344123">
          <w:rPr>
            <w:noProof/>
            <w:webHidden/>
          </w:rPr>
          <w:instrText xml:space="preserve"> PAGEREF _Toc370714746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7</w:t>
      </w:r>
    </w:p>
    <w:p w:rsidR="00344123" w:rsidRDefault="00F80857">
      <w:pPr>
        <w:pStyle w:val="TOC1"/>
        <w:tabs>
          <w:tab w:val="right" w:leader="dot" w:pos="9350"/>
        </w:tabs>
        <w:rPr>
          <w:rFonts w:asciiTheme="minorHAnsi" w:eastAsiaTheme="minorEastAsia" w:hAnsiTheme="minorHAnsi"/>
          <w:noProof/>
          <w:sz w:val="22"/>
          <w:szCs w:val="22"/>
        </w:rPr>
      </w:pPr>
      <w:hyperlink w:anchor="_Toc370714747" w:history="1">
        <w:r w:rsidR="00344123" w:rsidRPr="00887319">
          <w:rPr>
            <w:rStyle w:val="Hyperlink"/>
            <w:noProof/>
          </w:rPr>
          <w:t>Foundation Statement of Activities and Changes in Net Position</w:t>
        </w:r>
        <w:r w:rsidR="00344123">
          <w:rPr>
            <w:noProof/>
            <w:webHidden/>
          </w:rPr>
          <w:tab/>
        </w:r>
        <w:r w:rsidR="00344123">
          <w:rPr>
            <w:noProof/>
            <w:webHidden/>
          </w:rPr>
          <w:fldChar w:fldCharType="begin"/>
        </w:r>
        <w:r w:rsidR="00344123">
          <w:rPr>
            <w:noProof/>
            <w:webHidden/>
          </w:rPr>
          <w:instrText xml:space="preserve"> PAGEREF _Toc370714747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8</w:t>
      </w:r>
    </w:p>
    <w:p w:rsidR="00344123" w:rsidRDefault="00F80857">
      <w:pPr>
        <w:pStyle w:val="TOC1"/>
        <w:tabs>
          <w:tab w:val="right" w:leader="dot" w:pos="9350"/>
        </w:tabs>
        <w:rPr>
          <w:rFonts w:asciiTheme="minorHAnsi" w:eastAsiaTheme="minorEastAsia" w:hAnsiTheme="minorHAnsi"/>
          <w:noProof/>
          <w:sz w:val="22"/>
          <w:szCs w:val="22"/>
        </w:rPr>
      </w:pPr>
      <w:hyperlink w:anchor="_Toc370714748" w:history="1">
        <w:r w:rsidR="00344123" w:rsidRPr="00887319">
          <w:rPr>
            <w:rStyle w:val="Hyperlink"/>
            <w:noProof/>
          </w:rPr>
          <w:t>Notes to the Financial Statements</w:t>
        </w:r>
        <w:r w:rsidR="00344123">
          <w:rPr>
            <w:noProof/>
            <w:webHidden/>
          </w:rPr>
          <w:tab/>
        </w:r>
        <w:r w:rsidR="00344123">
          <w:rPr>
            <w:noProof/>
            <w:webHidden/>
          </w:rPr>
          <w:fldChar w:fldCharType="begin"/>
        </w:r>
        <w:r w:rsidR="00344123">
          <w:rPr>
            <w:noProof/>
            <w:webHidden/>
          </w:rPr>
          <w:instrText xml:space="preserve"> PAGEREF _Toc370714748 \h </w:instrText>
        </w:r>
        <w:r w:rsidR="00344123">
          <w:rPr>
            <w:noProof/>
            <w:webHidden/>
          </w:rPr>
        </w:r>
        <w:r w:rsidR="00344123">
          <w:rPr>
            <w:noProof/>
            <w:webHidden/>
          </w:rPr>
          <w:fldChar w:fldCharType="separate"/>
        </w:r>
        <w:r w:rsidR="00110F9C">
          <w:rPr>
            <w:noProof/>
            <w:webHidden/>
          </w:rPr>
          <w:t>1</w:t>
        </w:r>
        <w:r w:rsidR="00344123">
          <w:rPr>
            <w:noProof/>
            <w:webHidden/>
          </w:rPr>
          <w:fldChar w:fldCharType="end"/>
        </w:r>
      </w:hyperlink>
      <w:r w:rsidR="00E26903">
        <w:rPr>
          <w:noProof/>
        </w:rPr>
        <w:t>9</w:t>
      </w:r>
    </w:p>
    <w:p w:rsidR="004A4250" w:rsidRDefault="006813FD">
      <w:r>
        <w:fldChar w:fldCharType="end"/>
      </w:r>
    </w:p>
    <w:p w:rsidR="00CB4B95" w:rsidRDefault="00CB4B95"/>
    <w:p w:rsidR="00113B57" w:rsidRPr="00BD71EF" w:rsidRDefault="00113B57" w:rsidP="009D22CB">
      <w:r w:rsidRPr="00BD71EF">
        <w:t>For information about the financial data included in this</w:t>
      </w:r>
      <w:r w:rsidR="009D22CB" w:rsidRPr="00BD71EF">
        <w:t xml:space="preserve"> </w:t>
      </w:r>
      <w:r w:rsidRPr="00BD71EF">
        <w:t>report, contact:</w:t>
      </w:r>
    </w:p>
    <w:p w:rsidR="00113B57" w:rsidRPr="00993D32" w:rsidRDefault="009D4935" w:rsidP="009D22CB">
      <w:pPr>
        <w:rPr>
          <w:i/>
        </w:rPr>
      </w:pPr>
      <w:r w:rsidRPr="00993D32">
        <w:t>Vice President of Administrative Services</w:t>
      </w:r>
      <w:r w:rsidR="00FC1FC0" w:rsidRPr="00993D32">
        <w:t xml:space="preserve"> </w:t>
      </w:r>
    </w:p>
    <w:p w:rsidR="009D4935" w:rsidRPr="00993D32" w:rsidRDefault="00993D32" w:rsidP="009D22CB">
      <w:r w:rsidRPr="00993D32">
        <w:t>Pierce College</w:t>
      </w:r>
    </w:p>
    <w:p w:rsidR="009D4935" w:rsidRPr="00993D32" w:rsidRDefault="00993D32" w:rsidP="009D22CB">
      <w:r w:rsidRPr="00993D32">
        <w:t xml:space="preserve">9401 </w:t>
      </w:r>
      <w:proofErr w:type="spellStart"/>
      <w:r w:rsidRPr="00993D32">
        <w:t>Farwest</w:t>
      </w:r>
      <w:proofErr w:type="spellEnd"/>
      <w:r w:rsidRPr="00993D32">
        <w:t xml:space="preserve"> </w:t>
      </w:r>
      <w:proofErr w:type="spellStart"/>
      <w:r w:rsidRPr="00993D32">
        <w:t>Dr</w:t>
      </w:r>
      <w:proofErr w:type="spellEnd"/>
      <w:r w:rsidRPr="00993D32">
        <w:t xml:space="preserve"> SW</w:t>
      </w:r>
    </w:p>
    <w:p w:rsidR="009D4935" w:rsidRPr="00993D32" w:rsidRDefault="00993D32" w:rsidP="009D22CB">
      <w:r w:rsidRPr="00993D32">
        <w:t>Lakewood, WA 98498</w:t>
      </w:r>
    </w:p>
    <w:p w:rsidR="00113B57" w:rsidRPr="00C90D08" w:rsidRDefault="00993D32" w:rsidP="009D22CB">
      <w:r w:rsidRPr="00993D32">
        <w:t>253-964-6506</w:t>
      </w:r>
    </w:p>
    <w:p w:rsidR="009D22CB" w:rsidRPr="009D4935" w:rsidRDefault="009D22CB" w:rsidP="009D22CB">
      <w:pPr>
        <w:rPr>
          <w:i/>
          <w:highlight w:val="yellow"/>
        </w:rPr>
      </w:pPr>
    </w:p>
    <w:p w:rsidR="00113B57" w:rsidRPr="00993D32" w:rsidRDefault="00113B57" w:rsidP="009D22CB">
      <w:r w:rsidRPr="00993D32">
        <w:t>For information about enrollment, degrees awarded</w:t>
      </w:r>
      <w:r w:rsidR="009D4935" w:rsidRPr="00993D32">
        <w:t>, or academic programs, co</w:t>
      </w:r>
      <w:r w:rsidRPr="00993D32">
        <w:t>ntact:</w:t>
      </w:r>
    </w:p>
    <w:p w:rsidR="00113B57" w:rsidRPr="00993D32" w:rsidRDefault="00113B57" w:rsidP="009D22CB">
      <w:r w:rsidRPr="00993D32">
        <w:t>Institutional Research</w:t>
      </w:r>
    </w:p>
    <w:p w:rsidR="009D4935" w:rsidRPr="00993D32" w:rsidRDefault="00993D32" w:rsidP="009D4935">
      <w:r w:rsidRPr="00993D32">
        <w:t>Pierce College</w:t>
      </w:r>
    </w:p>
    <w:p w:rsidR="00993D32" w:rsidRPr="00993D32" w:rsidRDefault="00993D32" w:rsidP="009D4935">
      <w:r w:rsidRPr="00993D32">
        <w:t xml:space="preserve">9401 </w:t>
      </w:r>
      <w:proofErr w:type="spellStart"/>
      <w:r w:rsidRPr="00993D32">
        <w:t>Farwest</w:t>
      </w:r>
      <w:proofErr w:type="spellEnd"/>
      <w:r w:rsidRPr="00993D32">
        <w:t xml:space="preserve"> </w:t>
      </w:r>
      <w:proofErr w:type="spellStart"/>
      <w:r w:rsidRPr="00993D32">
        <w:t>Dr</w:t>
      </w:r>
      <w:proofErr w:type="spellEnd"/>
      <w:r w:rsidRPr="00993D32">
        <w:t xml:space="preserve"> SW</w:t>
      </w:r>
    </w:p>
    <w:p w:rsidR="009D4935" w:rsidRPr="00993D32" w:rsidRDefault="00993D32" w:rsidP="009D4935">
      <w:r w:rsidRPr="00993D32">
        <w:t>Lakewood, WA 98498</w:t>
      </w:r>
    </w:p>
    <w:p w:rsidR="009D4935" w:rsidRPr="00993D32" w:rsidRDefault="00993D32" w:rsidP="009D4935">
      <w:r w:rsidRPr="00993D32">
        <w:t>253-964-6529</w:t>
      </w:r>
    </w:p>
    <w:p w:rsidR="00993D32" w:rsidRPr="00993D32" w:rsidRDefault="00113B57" w:rsidP="009D22CB">
      <w:proofErr w:type="gramStart"/>
      <w:r w:rsidRPr="00993D32">
        <w:t>or</w:t>
      </w:r>
      <w:proofErr w:type="gramEnd"/>
      <w:r w:rsidR="009D22CB" w:rsidRPr="00993D32">
        <w:t xml:space="preserve"> </w:t>
      </w:r>
    </w:p>
    <w:p w:rsidR="00113B57" w:rsidRPr="00993D32" w:rsidRDefault="00113B57" w:rsidP="009D22CB">
      <w:r w:rsidRPr="00993D32">
        <w:t xml:space="preserve">Visit the </w:t>
      </w:r>
      <w:r w:rsidR="00993D32" w:rsidRPr="00993D32">
        <w:t>Facts and Stats of Pierce College - H</w:t>
      </w:r>
      <w:r w:rsidRPr="00993D32">
        <w:t xml:space="preserve">ome page at </w:t>
      </w:r>
      <w:hyperlink r:id="rId10" w:history="1">
        <w:r w:rsidR="00993D32" w:rsidRPr="00993D32">
          <w:rPr>
            <w:rStyle w:val="Hyperlink"/>
          </w:rPr>
          <w:t>https://www.pierce.ctc.edu/about/demographics/</w:t>
        </w:r>
      </w:hyperlink>
    </w:p>
    <w:p w:rsidR="00517122" w:rsidRDefault="00517122">
      <w:r>
        <w:br w:type="page"/>
      </w:r>
    </w:p>
    <w:p w:rsidR="00113B57" w:rsidRPr="007B6E06" w:rsidRDefault="009D412A" w:rsidP="003F6741">
      <w:pPr>
        <w:pStyle w:val="Heading1"/>
        <w:rPr>
          <w:rFonts w:ascii="Times New Roman" w:hAnsi="Times New Roman" w:cs="Times New Roman"/>
          <w:color w:val="632423" w:themeColor="accent2" w:themeShade="80"/>
        </w:rPr>
      </w:pPr>
      <w:bookmarkStart w:id="1" w:name="_Toc370714739"/>
      <w:r w:rsidRPr="007B6E06">
        <w:rPr>
          <w:rFonts w:ascii="Times New Roman" w:hAnsi="Times New Roman" w:cs="Times New Roman"/>
          <w:color w:val="632423" w:themeColor="accent2" w:themeShade="80"/>
        </w:rPr>
        <w:lastRenderedPageBreak/>
        <w:t>Trustees</w:t>
      </w:r>
      <w:r w:rsidR="00113B57" w:rsidRPr="007B6E06">
        <w:rPr>
          <w:rFonts w:ascii="Times New Roman" w:hAnsi="Times New Roman" w:cs="Times New Roman"/>
          <w:color w:val="632423" w:themeColor="accent2" w:themeShade="80"/>
        </w:rPr>
        <w:t xml:space="preserve"> </w:t>
      </w:r>
      <w:r w:rsidR="00113B57" w:rsidRPr="007B6E06">
        <w:rPr>
          <w:rFonts w:ascii="Times New Roman" w:hAnsi="Times New Roman" w:cs="Times New Roman"/>
          <w:i/>
          <w:color w:val="632423" w:themeColor="accent2" w:themeShade="80"/>
        </w:rPr>
        <w:t xml:space="preserve">and </w:t>
      </w:r>
      <w:r w:rsidR="00113B57" w:rsidRPr="007B6E06">
        <w:rPr>
          <w:rFonts w:ascii="Times New Roman" w:hAnsi="Times New Roman" w:cs="Times New Roman"/>
          <w:color w:val="632423" w:themeColor="accent2" w:themeShade="80"/>
        </w:rPr>
        <w:t>Administrative Officers</w:t>
      </w:r>
      <w:bookmarkEnd w:id="1"/>
    </w:p>
    <w:p w:rsidR="00517122" w:rsidRDefault="00517122" w:rsidP="009D22CB">
      <w:pPr>
        <w:rPr>
          <w:b/>
          <w:bCs/>
        </w:rPr>
      </w:pPr>
    </w:p>
    <w:p w:rsidR="00113B57" w:rsidRPr="009211A5" w:rsidRDefault="00113B57" w:rsidP="009D22CB">
      <w:pPr>
        <w:rPr>
          <w:b/>
          <w:bCs/>
          <w:color w:val="262626" w:themeColor="text1" w:themeTint="D9"/>
        </w:rPr>
      </w:pPr>
      <w:r w:rsidRPr="009211A5">
        <w:rPr>
          <w:b/>
          <w:bCs/>
          <w:color w:val="262626" w:themeColor="text1" w:themeTint="D9"/>
        </w:rPr>
        <w:t xml:space="preserve">BOARD OF </w:t>
      </w:r>
      <w:r w:rsidR="009D412A" w:rsidRPr="009211A5">
        <w:rPr>
          <w:b/>
          <w:bCs/>
          <w:color w:val="262626" w:themeColor="text1" w:themeTint="D9"/>
        </w:rPr>
        <w:t>TRUSTEES</w:t>
      </w:r>
    </w:p>
    <w:p w:rsidR="00E63A04" w:rsidRDefault="00E63A04" w:rsidP="009D22CB">
      <w:pPr>
        <w:rPr>
          <w:highlight w:val="yellow"/>
        </w:rPr>
      </w:pPr>
    </w:p>
    <w:p w:rsidR="00113B57" w:rsidRPr="00E63A04" w:rsidRDefault="00E52873" w:rsidP="009D22CB">
      <w:r>
        <w:t>Steve Smith</w:t>
      </w:r>
      <w:r w:rsidR="00E63A04">
        <w:t xml:space="preserve">, </w:t>
      </w:r>
      <w:r w:rsidR="00E63A04" w:rsidRPr="00E63A04">
        <w:t xml:space="preserve">Board </w:t>
      </w:r>
      <w:r w:rsidR="00113B57" w:rsidRPr="00E63A04">
        <w:t xml:space="preserve">Chair </w:t>
      </w:r>
    </w:p>
    <w:p w:rsidR="009D412A" w:rsidRPr="00E63A04" w:rsidRDefault="00E52873" w:rsidP="009D22CB">
      <w:r>
        <w:t>Brett Willis</w:t>
      </w:r>
      <w:r w:rsidR="00E63A04">
        <w:t xml:space="preserve">, </w:t>
      </w:r>
      <w:r w:rsidR="00E63A04" w:rsidRPr="00E63A04">
        <w:t>Vice Chair</w:t>
      </w:r>
    </w:p>
    <w:p w:rsidR="00E52873" w:rsidRDefault="00E52873" w:rsidP="009D22CB">
      <w:r>
        <w:t xml:space="preserve">Angie </w:t>
      </w:r>
      <w:proofErr w:type="spellStart"/>
      <w:r>
        <w:t>Roarty</w:t>
      </w:r>
      <w:proofErr w:type="spellEnd"/>
    </w:p>
    <w:p w:rsidR="00E63A04" w:rsidRPr="00E63A04" w:rsidRDefault="00E63A04" w:rsidP="009D22CB">
      <w:r w:rsidRPr="00E63A04">
        <w:t>Jaqueline Rosenblatt</w:t>
      </w:r>
    </w:p>
    <w:p w:rsidR="00E63A04" w:rsidRPr="00E63A04" w:rsidRDefault="00E63A04" w:rsidP="009D22CB">
      <w:proofErr w:type="spellStart"/>
      <w:r w:rsidRPr="00E63A04">
        <w:t>Amadeo</w:t>
      </w:r>
      <w:proofErr w:type="spellEnd"/>
      <w:r w:rsidRPr="00E63A04">
        <w:t xml:space="preserve"> </w:t>
      </w:r>
      <w:proofErr w:type="spellStart"/>
      <w:r w:rsidRPr="00E63A04">
        <w:t>Tiam</w:t>
      </w:r>
      <w:proofErr w:type="spellEnd"/>
    </w:p>
    <w:p w:rsidR="00BD71EF" w:rsidRPr="00C13603" w:rsidRDefault="00BD71EF" w:rsidP="009D22CB">
      <w:pPr>
        <w:rPr>
          <w:highlight w:val="yellow"/>
        </w:rPr>
      </w:pPr>
    </w:p>
    <w:p w:rsidR="00113B57" w:rsidRPr="009211A5" w:rsidRDefault="009D412A" w:rsidP="009D22CB">
      <w:pPr>
        <w:rPr>
          <w:b/>
          <w:bCs/>
          <w:color w:val="262626" w:themeColor="text1" w:themeTint="D9"/>
        </w:rPr>
      </w:pPr>
      <w:r w:rsidRPr="009211A5">
        <w:rPr>
          <w:b/>
          <w:bCs/>
          <w:color w:val="262626" w:themeColor="text1" w:themeTint="D9"/>
        </w:rPr>
        <w:t>EXECUTIVE OFFICERS</w:t>
      </w:r>
    </w:p>
    <w:p w:rsidR="00517122" w:rsidRDefault="00517122" w:rsidP="009D22CB">
      <w:pPr>
        <w:rPr>
          <w:highlight w:val="yellow"/>
        </w:rPr>
      </w:pPr>
    </w:p>
    <w:p w:rsidR="009D412A" w:rsidRPr="005F40ED" w:rsidRDefault="005F40ED" w:rsidP="009D22CB">
      <w:r w:rsidRPr="005F40ED">
        <w:t xml:space="preserve">Michele Johnson, </w:t>
      </w:r>
      <w:r w:rsidR="009D412A" w:rsidRPr="005F40ED">
        <w:t>Chancellor</w:t>
      </w:r>
      <w:r w:rsidRPr="005F40ED">
        <w:t xml:space="preserve"> – Pierce College District</w:t>
      </w:r>
    </w:p>
    <w:p w:rsidR="005F40ED" w:rsidRPr="00E63A04" w:rsidRDefault="005F40ED" w:rsidP="009D22CB">
      <w:r w:rsidRPr="00E63A04">
        <w:t>Marty Cavalluzzi, President – Pierce College Puyallup</w:t>
      </w:r>
    </w:p>
    <w:p w:rsidR="005F40ED" w:rsidRPr="00E63A04" w:rsidRDefault="00E63A04" w:rsidP="009D22CB">
      <w:r w:rsidRPr="00E63A04">
        <w:t>Denise Yochum, President – Pierce College Fort Steilacoom</w:t>
      </w:r>
    </w:p>
    <w:p w:rsidR="00AE4298" w:rsidRDefault="00E63A04" w:rsidP="009D22CB">
      <w:r>
        <w:t>Jo Ann Baria, Vice President Workforce, Economic and Professional Development</w:t>
      </w:r>
    </w:p>
    <w:p w:rsidR="00E63A04" w:rsidRDefault="00E63A04" w:rsidP="009D22CB">
      <w:r>
        <w:t>Matthew Campbell, Vice President for Learning and Student Success – Pierce College Puyallup</w:t>
      </w:r>
    </w:p>
    <w:p w:rsidR="00E63A04" w:rsidRDefault="00E63A04" w:rsidP="009D22CB">
      <w:r>
        <w:t>Debra Gilchrist, Vice President for Learning and Student Success – Pierce College Fort Steilacoom</w:t>
      </w:r>
    </w:p>
    <w:p w:rsidR="00E63A04" w:rsidRDefault="00E63A04" w:rsidP="009D22CB">
      <w:r>
        <w:t>Holly Gorski, Vice President for Human Resources</w:t>
      </w:r>
    </w:p>
    <w:p w:rsidR="00E63A04" w:rsidRDefault="00E63A04" w:rsidP="009D22CB">
      <w:r>
        <w:t>Choi Halladay, Vice President of Administrative Services</w:t>
      </w:r>
    </w:p>
    <w:p w:rsidR="00E63A04" w:rsidRDefault="00E63A04" w:rsidP="009D22CB">
      <w:r>
        <w:t>Deidre Soileau, Vice President of Advancement and Executive Director of the Foundation</w:t>
      </w:r>
    </w:p>
    <w:p w:rsidR="00E63A04" w:rsidRDefault="00E63A04" w:rsidP="009D22CB">
      <w:r>
        <w:t>Mike Stocke, Chief Information Officer</w:t>
      </w:r>
    </w:p>
    <w:p w:rsidR="00E63A04" w:rsidRPr="00AE4298" w:rsidRDefault="00E63A04" w:rsidP="009D22CB"/>
    <w:p w:rsidR="00113B57" w:rsidRPr="009211A5" w:rsidRDefault="00113B57" w:rsidP="009D22CB">
      <w:pPr>
        <w:rPr>
          <w:b/>
          <w:bCs/>
          <w:color w:val="262626" w:themeColor="text1" w:themeTint="D9"/>
        </w:rPr>
      </w:pPr>
      <w:r w:rsidRPr="009211A5">
        <w:rPr>
          <w:b/>
          <w:bCs/>
          <w:color w:val="262626" w:themeColor="text1" w:themeTint="D9"/>
        </w:rPr>
        <w:t>ACADEMIC DEANS</w:t>
      </w:r>
      <w:r w:rsidR="009D412A" w:rsidRPr="009211A5">
        <w:rPr>
          <w:b/>
          <w:bCs/>
          <w:color w:val="262626" w:themeColor="text1" w:themeTint="D9"/>
        </w:rPr>
        <w:t xml:space="preserve"> </w:t>
      </w:r>
    </w:p>
    <w:p w:rsidR="00F257CD" w:rsidRDefault="00F257CD" w:rsidP="009D22CB">
      <w:pPr>
        <w:rPr>
          <w:i/>
        </w:rPr>
      </w:pPr>
    </w:p>
    <w:p w:rsidR="008E4600" w:rsidRDefault="008E4600" w:rsidP="009D22CB">
      <w:r>
        <w:t>Thomas Broxson, Dean of Natural Sciences</w:t>
      </w:r>
    </w:p>
    <w:p w:rsidR="008E4600" w:rsidRDefault="008E4600" w:rsidP="009D22CB">
      <w:r>
        <w:t>Christie Flynn, Dean of Library and Learning Resources</w:t>
      </w:r>
    </w:p>
    <w:p w:rsidR="008E4600" w:rsidRDefault="008E4600" w:rsidP="009D22CB">
      <w:r>
        <w:t>Lori Griffin, Dean of Transitional Education</w:t>
      </w:r>
    </w:p>
    <w:p w:rsidR="00E52873" w:rsidRDefault="00E52873" w:rsidP="009D22CB">
      <w:r>
        <w:t>Marty Heilstedt, Dean of Instruction – Military Programs</w:t>
      </w:r>
    </w:p>
    <w:p w:rsidR="008E4600" w:rsidRDefault="008E4600" w:rsidP="009D22CB">
      <w:proofErr w:type="spellStart"/>
      <w:r>
        <w:t>Sachi</w:t>
      </w:r>
      <w:proofErr w:type="spellEnd"/>
      <w:r>
        <w:t xml:space="preserve"> </w:t>
      </w:r>
      <w:proofErr w:type="spellStart"/>
      <w:r>
        <w:t>Horback</w:t>
      </w:r>
      <w:proofErr w:type="spellEnd"/>
      <w:r>
        <w:t>, Dean of Business and Social Science</w:t>
      </w:r>
    </w:p>
    <w:p w:rsidR="008E4600" w:rsidRDefault="008E4600" w:rsidP="009D22CB">
      <w:r>
        <w:t>Ronald May, Dean of Applied Technology and Allied Health</w:t>
      </w:r>
    </w:p>
    <w:p w:rsidR="008E4600" w:rsidRDefault="008E4600" w:rsidP="009D22CB">
      <w:r>
        <w:t>Holly Smith, Dean of Arts and Humanities</w:t>
      </w:r>
    </w:p>
    <w:p w:rsidR="008E4600" w:rsidRPr="008E4600" w:rsidRDefault="008E4600" w:rsidP="009D22CB"/>
    <w:p w:rsidR="009D412A" w:rsidRPr="00F257CD" w:rsidRDefault="009D412A" w:rsidP="009D22CB"/>
    <w:p w:rsidR="00113B57" w:rsidRPr="00C90D08" w:rsidRDefault="00C573F0" w:rsidP="009D22CB">
      <w:r>
        <w:t xml:space="preserve">Trustees and </w:t>
      </w:r>
      <w:r w:rsidR="00113B57" w:rsidRPr="00C90D08">
        <w:t>Officer list e</w:t>
      </w:r>
      <w:r w:rsidR="00F257CD" w:rsidRPr="00C90D08">
        <w:t xml:space="preserve">ffective as of </w:t>
      </w:r>
      <w:r w:rsidR="00F257CD" w:rsidRPr="005A568B">
        <w:t>December 31, 201</w:t>
      </w:r>
      <w:r w:rsidR="005A568B" w:rsidRPr="005A568B">
        <w:t>4</w:t>
      </w:r>
    </w:p>
    <w:p w:rsidR="00113B57" w:rsidRPr="00F257CD" w:rsidRDefault="00113B57" w:rsidP="009D22CB"/>
    <w:p w:rsidR="00113B57" w:rsidRPr="00C13603" w:rsidRDefault="00113B57" w:rsidP="009D22CB">
      <w:pPr>
        <w:rPr>
          <w:highlight w:val="yellow"/>
        </w:rPr>
      </w:pPr>
    </w:p>
    <w:p w:rsidR="00A94C5D" w:rsidRPr="00E26903" w:rsidRDefault="006813FD" w:rsidP="00E26903">
      <w:pPr>
        <w:rPr>
          <w:rFonts w:asciiTheme="majorHAnsi" w:eastAsiaTheme="majorEastAsia" w:hAnsiTheme="majorHAnsi" w:cstheme="majorBidi"/>
          <w:b/>
          <w:bCs/>
          <w:color w:val="365F91" w:themeColor="accent1" w:themeShade="BF"/>
          <w:sz w:val="28"/>
          <w:szCs w:val="28"/>
        </w:rPr>
      </w:pPr>
      <w:r>
        <w:br w:type="page"/>
      </w:r>
    </w:p>
    <w:p w:rsidR="00E26903" w:rsidRDefault="00E26903" w:rsidP="00E26903">
      <w:pPr>
        <w:jc w:val="center"/>
        <w:rPr>
          <w:b/>
          <w:bCs/>
          <w:color w:val="000000"/>
          <w:sz w:val="28"/>
          <w:szCs w:val="28"/>
        </w:rPr>
      </w:pPr>
      <w:r w:rsidRPr="00536B5C">
        <w:rPr>
          <w:noProof/>
        </w:rPr>
        <w:lastRenderedPageBreak/>
        <w:drawing>
          <wp:inline distT="0" distB="0" distL="0" distR="0" wp14:anchorId="23D88697" wp14:editId="44B005EE">
            <wp:extent cx="900684" cy="9144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ofloly001\Users\wallera\Seals\Official-SAO-Seal_FINAL.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0684" cy="914400"/>
                    </a:xfrm>
                    <a:prstGeom prst="rect">
                      <a:avLst/>
                    </a:prstGeom>
                    <a:noFill/>
                    <a:ln w="9525">
                      <a:noFill/>
                      <a:miter lim="800000"/>
                      <a:headEnd/>
                      <a:tailEnd/>
                    </a:ln>
                  </pic:spPr>
                </pic:pic>
              </a:graphicData>
            </a:graphic>
          </wp:inline>
        </w:drawing>
      </w:r>
    </w:p>
    <w:p w:rsidR="00E26903" w:rsidRDefault="00E26903" w:rsidP="00E26903">
      <w:pPr>
        <w:jc w:val="center"/>
        <w:rPr>
          <w:b/>
          <w:bCs/>
          <w:color w:val="000000"/>
          <w:sz w:val="28"/>
          <w:szCs w:val="28"/>
        </w:rPr>
      </w:pPr>
    </w:p>
    <w:p w:rsidR="00E26903" w:rsidRDefault="00E26903" w:rsidP="00E26903">
      <w:pPr>
        <w:jc w:val="center"/>
        <w:rPr>
          <w:b/>
          <w:bCs/>
          <w:color w:val="000000"/>
          <w:sz w:val="28"/>
          <w:szCs w:val="28"/>
        </w:rPr>
      </w:pPr>
      <w:r w:rsidRPr="003F6242">
        <w:rPr>
          <w:b/>
          <w:sz w:val="38"/>
          <w:szCs w:val="38"/>
        </w:rPr>
        <w:t>Washington State Auditor</w:t>
      </w:r>
      <w:r>
        <w:rPr>
          <w:b/>
          <w:sz w:val="38"/>
          <w:szCs w:val="38"/>
        </w:rPr>
        <w:t>’s Office</w:t>
      </w:r>
    </w:p>
    <w:p w:rsidR="00E26903" w:rsidRDefault="00E26903" w:rsidP="00E26903">
      <w:pPr>
        <w:rPr>
          <w:b/>
          <w:bCs/>
          <w:color w:val="000000"/>
          <w:sz w:val="28"/>
          <w:szCs w:val="28"/>
        </w:rPr>
      </w:pPr>
    </w:p>
    <w:p w:rsidR="00E26903" w:rsidRDefault="00E26903" w:rsidP="00E26903">
      <w:pPr>
        <w:rPr>
          <w:b/>
          <w:bCs/>
          <w:color w:val="000000"/>
          <w:sz w:val="28"/>
          <w:szCs w:val="28"/>
        </w:rPr>
      </w:pPr>
    </w:p>
    <w:p w:rsidR="00E26903" w:rsidRDefault="00E26903" w:rsidP="00E26903">
      <w:pPr>
        <w:rPr>
          <w:b/>
          <w:bCs/>
          <w:color w:val="000000"/>
          <w:sz w:val="28"/>
          <w:szCs w:val="28"/>
        </w:rPr>
      </w:pPr>
      <w:r w:rsidRPr="00F9219C">
        <w:rPr>
          <w:b/>
          <w:bCs/>
          <w:color w:val="000000"/>
          <w:sz w:val="28"/>
          <w:szCs w:val="28"/>
        </w:rPr>
        <w:t>INDEPENDENT AUDITOR’S REPORT</w:t>
      </w:r>
    </w:p>
    <w:p w:rsidR="00E26903" w:rsidRDefault="00E26903" w:rsidP="00E26903">
      <w:pPr>
        <w:spacing w:line="276" w:lineRule="auto"/>
      </w:pPr>
    </w:p>
    <w:p w:rsidR="00E26903" w:rsidRDefault="00E26903" w:rsidP="00E26903">
      <w:pPr>
        <w:spacing w:line="276" w:lineRule="auto"/>
      </w:pPr>
      <w:r>
        <w:t>June 2, 2015</w:t>
      </w:r>
    </w:p>
    <w:p w:rsidR="00E26903" w:rsidRDefault="00E26903" w:rsidP="00E26903">
      <w:pPr>
        <w:spacing w:line="276" w:lineRule="auto"/>
      </w:pPr>
    </w:p>
    <w:p w:rsidR="00E26903" w:rsidRPr="00D1728C" w:rsidRDefault="00E26903" w:rsidP="00E26903">
      <w:pPr>
        <w:spacing w:line="276" w:lineRule="auto"/>
      </w:pPr>
      <w:r w:rsidRPr="00D1728C">
        <w:t>Pierce College</w:t>
      </w:r>
    </w:p>
    <w:p w:rsidR="00E26903" w:rsidRPr="00D1728C" w:rsidRDefault="00E26903" w:rsidP="00E26903">
      <w:pPr>
        <w:spacing w:after="200" w:line="276" w:lineRule="auto"/>
      </w:pPr>
      <w:r>
        <w:t>Puyallup</w:t>
      </w:r>
      <w:r w:rsidRPr="00D1728C">
        <w:t>, Washington</w:t>
      </w:r>
    </w:p>
    <w:p w:rsidR="00E26903" w:rsidRPr="00780C29" w:rsidRDefault="00E26903" w:rsidP="00E26903">
      <w:pPr>
        <w:spacing w:after="120" w:line="276" w:lineRule="auto"/>
        <w:jc w:val="both"/>
        <w:rPr>
          <w:b/>
          <w:color w:val="244061" w:themeColor="accent1" w:themeShade="80"/>
          <w:spacing w:val="15"/>
          <w:sz w:val="28"/>
          <w:szCs w:val="28"/>
        </w:rPr>
      </w:pPr>
      <w:r w:rsidRPr="00780C29">
        <w:rPr>
          <w:b/>
          <w:color w:val="244061" w:themeColor="accent1" w:themeShade="80"/>
          <w:spacing w:val="15"/>
          <w:sz w:val="28"/>
          <w:szCs w:val="28"/>
        </w:rPr>
        <w:t>REPORT ON THE FINANCIAL STATEMENTS</w:t>
      </w:r>
    </w:p>
    <w:p w:rsidR="00E26903" w:rsidRDefault="00E26903" w:rsidP="00E26903">
      <w:pPr>
        <w:spacing w:after="200" w:line="276" w:lineRule="auto"/>
        <w:jc w:val="both"/>
      </w:pPr>
      <w:r w:rsidRPr="007C7AFA">
        <w:t xml:space="preserve">We have audited the financial statements of the business-type activities and the aggregate discretely presented component units of Pierce College, Pierce County, Washington, as of and for the year ended June 30, 2014, and the related notes to the financial statements, which collectively </w:t>
      </w:r>
      <w:r w:rsidRPr="00D1728C">
        <w:t xml:space="preserve">comprise the College’s basic financial statements. </w:t>
      </w:r>
    </w:p>
    <w:p w:rsidR="00E26903" w:rsidRPr="00780C29" w:rsidRDefault="00E26903" w:rsidP="00E26903">
      <w:pPr>
        <w:spacing w:after="200" w:line="276" w:lineRule="auto"/>
        <w:jc w:val="both"/>
        <w:rPr>
          <w:b/>
          <w:noProof/>
          <w:color w:val="244061" w:themeColor="accent1" w:themeShade="80"/>
          <w:spacing w:val="15"/>
        </w:rPr>
      </w:pPr>
      <w:r w:rsidRPr="00780C29">
        <w:rPr>
          <w:b/>
          <w:noProof/>
          <w:color w:val="244061" w:themeColor="accent1" w:themeShade="80"/>
          <w:spacing w:val="15"/>
        </w:rPr>
        <w:t>Management’s Responsibility for the Financial Statements</w:t>
      </w:r>
    </w:p>
    <w:p w:rsidR="00E26903" w:rsidRDefault="00E26903" w:rsidP="00E26903">
      <w:pPr>
        <w:widowControl w:val="0"/>
        <w:spacing w:after="200" w:line="276" w:lineRule="auto"/>
        <w:jc w:val="both"/>
        <w:rPr>
          <w:color w:val="000000"/>
        </w:rPr>
      </w:pPr>
      <w:r w:rsidRPr="008A777A">
        <w:rPr>
          <w:color w:val="000000"/>
        </w:rPr>
        <w:t>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w:t>
      </w:r>
    </w:p>
    <w:p w:rsidR="00E26903" w:rsidRPr="00780C29" w:rsidRDefault="00E26903" w:rsidP="00E26903">
      <w:pPr>
        <w:widowControl w:val="0"/>
        <w:spacing w:after="120" w:line="276" w:lineRule="auto"/>
        <w:jc w:val="both"/>
        <w:rPr>
          <w:b/>
          <w:color w:val="244061" w:themeColor="accent1" w:themeShade="80"/>
          <w:spacing w:val="15"/>
        </w:rPr>
      </w:pPr>
      <w:r w:rsidRPr="00780C29">
        <w:rPr>
          <w:b/>
          <w:color w:val="244061" w:themeColor="accent1" w:themeShade="80"/>
          <w:spacing w:val="15"/>
        </w:rPr>
        <w:t>Auditor’s Responsibility</w:t>
      </w:r>
    </w:p>
    <w:p w:rsidR="00E26903" w:rsidRPr="008A777A" w:rsidRDefault="00E26903" w:rsidP="00E26903">
      <w:pPr>
        <w:spacing w:after="200" w:line="276" w:lineRule="auto"/>
        <w:jc w:val="both"/>
      </w:pPr>
      <w:r w:rsidRPr="007C7AFA">
        <w:t xml:space="preserve">Our responsibility is to express an opinion on these financial statements based on our audit.  We did not audit the financial statements of the Pierce College Foundation, which represents 100 percent of the assets, net position and revenues of the aggregate discretely presented component units.  Those statements were audited by other auditors, whose report has been furnished to us, and our opinion, insofar as it relates to the amounts included for the Pierce College Foundation, is based solely on the report of the other auditors.  We conducted our audit in accordance with auditing standards generally accepted in the United States of America and the standards applicable to financial audits contained in </w:t>
      </w:r>
      <w:r w:rsidRPr="007C7AFA">
        <w:rPr>
          <w:i/>
        </w:rPr>
        <w:t>Government Auditing Standards</w:t>
      </w:r>
      <w:r w:rsidRPr="007C7AFA">
        <w:t xml:space="preserve">, issued by the Comptroller General of the United States.  Those standards </w:t>
      </w:r>
      <w:r w:rsidRPr="008A777A">
        <w:t xml:space="preserve">require that we plan and perform the audit to obtain reasonable assurance about whether the financial statements are free from material misstatement.  </w:t>
      </w:r>
    </w:p>
    <w:p w:rsidR="00E26903" w:rsidRPr="008A777A" w:rsidRDefault="00E26903" w:rsidP="00E26903">
      <w:pPr>
        <w:spacing w:after="200" w:line="276" w:lineRule="auto"/>
        <w:jc w:val="both"/>
        <w:rPr>
          <w:noProof/>
        </w:rPr>
      </w:pPr>
      <w:r w:rsidRPr="008A777A">
        <w:t xml:space="preserve">An audit involves </w:t>
      </w:r>
      <w:r w:rsidRPr="008A777A">
        <w:rPr>
          <w:noProof/>
        </w:rPr>
        <w:t xml:space="preserve">performing procedures to obtain audit evidence about the amounts and disclosures in the financial statements.  The procedures selected depend on the auditor’s judgment, including the </w:t>
      </w:r>
      <w:r w:rsidRPr="008A777A">
        <w:rPr>
          <w:noProof/>
        </w:rPr>
        <w:lastRenderedPageBreak/>
        <w:t xml:space="preserve">assessment of the risks of material misstatement of the financial statements, whether due to fraud or error.  In making those risk assessments, the auditor considers internal control relevant to the </w:t>
      </w:r>
      <w:r w:rsidRPr="0022378E">
        <w:t>College</w:t>
      </w:r>
      <w:r w:rsidRPr="0022378E">
        <w:rPr>
          <w:noProof/>
        </w:rPr>
        <w:t xml:space="preserve">’s preparation and fair presentation of the financial statements in order to design audit procedures that are appropriate in the circumstances, but not for the purpose of expressing an opinion on the effectiveness of the </w:t>
      </w:r>
      <w:r w:rsidRPr="0022378E">
        <w:t>College</w:t>
      </w:r>
      <w:r w:rsidRPr="0022378E">
        <w:rPr>
          <w:noProof/>
        </w:rPr>
        <w:t>’s internal control.  Accordingly, we express no such opinion.  An audit also includes evaluating the appropriateness of accounting</w:t>
      </w:r>
      <w:r w:rsidRPr="008A777A">
        <w:rPr>
          <w:noProof/>
        </w:rPr>
        <w:t xml:space="preserve"> policies used and the reasonableness of significant accounting estimates made by management, as well as evaluating the overall presentation of the financial statements.</w:t>
      </w:r>
    </w:p>
    <w:p w:rsidR="00E26903" w:rsidRDefault="00E26903" w:rsidP="00E26903">
      <w:pPr>
        <w:spacing w:after="200" w:line="276" w:lineRule="auto"/>
        <w:jc w:val="both"/>
      </w:pPr>
      <w:r w:rsidRPr="008A777A">
        <w:t xml:space="preserve">We believe that the audit evidence we have obtained is </w:t>
      </w:r>
      <w:r w:rsidRPr="008A777A">
        <w:rPr>
          <w:noProof/>
        </w:rPr>
        <w:t xml:space="preserve">sufficient and appropriate to provide a basis for our audit </w:t>
      </w:r>
      <w:r w:rsidRPr="0022378E">
        <w:t>opinion.</w:t>
      </w:r>
    </w:p>
    <w:p w:rsidR="00E26903" w:rsidRPr="00780C29" w:rsidRDefault="00E26903" w:rsidP="00E26903">
      <w:pPr>
        <w:spacing w:after="120" w:line="276" w:lineRule="auto"/>
        <w:jc w:val="both"/>
        <w:rPr>
          <w:b/>
          <w:color w:val="244061" w:themeColor="accent1" w:themeShade="80"/>
          <w:spacing w:val="15"/>
        </w:rPr>
      </w:pPr>
      <w:r w:rsidRPr="00780C29">
        <w:rPr>
          <w:b/>
          <w:color w:val="244061" w:themeColor="accent1" w:themeShade="80"/>
          <w:spacing w:val="15"/>
        </w:rPr>
        <w:t>Opinion</w:t>
      </w:r>
    </w:p>
    <w:p w:rsidR="00E26903" w:rsidRDefault="00E26903" w:rsidP="00E26903">
      <w:pPr>
        <w:spacing w:after="200" w:line="276" w:lineRule="auto"/>
        <w:jc w:val="both"/>
      </w:pPr>
      <w:r w:rsidRPr="008A777A">
        <w:t xml:space="preserve">In our </w:t>
      </w:r>
      <w:r w:rsidRPr="007C7AFA">
        <w:t>opinion, based on our audit and the report of other auditors, the financial statements referred to above present fairly, in all material respects, the financial position of the Pierce College, as of June 30, 2014, and the changes in financial position and cash flows thereof for the year then ended in accordance with accounting principles generally accepted in the United States of America.</w:t>
      </w:r>
    </w:p>
    <w:p w:rsidR="00E26903" w:rsidRPr="002F65DD" w:rsidRDefault="00E26903" w:rsidP="00E26903">
      <w:pPr>
        <w:spacing w:after="120" w:line="276" w:lineRule="auto"/>
        <w:jc w:val="both"/>
        <w:rPr>
          <w:b/>
          <w:color w:val="244061" w:themeColor="accent1" w:themeShade="80"/>
          <w:spacing w:val="15"/>
        </w:rPr>
      </w:pPr>
      <w:r w:rsidRPr="002F65DD">
        <w:rPr>
          <w:b/>
          <w:color w:val="244061" w:themeColor="accent1" w:themeShade="80"/>
          <w:spacing w:val="15"/>
        </w:rPr>
        <w:t xml:space="preserve">Matters of Emphasis </w:t>
      </w:r>
    </w:p>
    <w:p w:rsidR="00E26903" w:rsidRPr="008A777A" w:rsidRDefault="00E26903" w:rsidP="00E26903">
      <w:pPr>
        <w:spacing w:after="200" w:line="276" w:lineRule="auto"/>
        <w:jc w:val="both"/>
      </w:pPr>
      <w:r w:rsidRPr="002F65DD">
        <w:t xml:space="preserve">As discussed in Note 1, the financial statements of </w:t>
      </w:r>
      <w:r>
        <w:t>Pierce</w:t>
      </w:r>
      <w:r w:rsidRPr="002F65DD">
        <w:t xml:space="preserve"> College, an agency of the state of Washington, are intended to present the financial position, the changes in financial position and, where applicable, cash flows of only the respective portion of the activities of the state of Washington that is attributable to the transactions of the College and its discretely presented component unit. They do not purport to, and do not, present fairly the financial position of the state of Washington as of June 30, 2014, the changes in its financial position, or, where applicable, its cash flows for the year then ended in conformity with accounting principles generally accepted in the United States of America. Our opinion is not modified with respect to this matter.</w:t>
      </w:r>
    </w:p>
    <w:p w:rsidR="00E26903" w:rsidRDefault="00E26903" w:rsidP="00E26903">
      <w:pPr>
        <w:spacing w:after="120" w:line="276" w:lineRule="auto"/>
        <w:jc w:val="both"/>
        <w:rPr>
          <w:b/>
          <w:color w:val="244061" w:themeColor="accent1" w:themeShade="80"/>
          <w:spacing w:val="15"/>
        </w:rPr>
      </w:pPr>
      <w:r w:rsidRPr="00780C29">
        <w:rPr>
          <w:b/>
          <w:color w:val="244061" w:themeColor="accent1" w:themeShade="80"/>
          <w:spacing w:val="15"/>
        </w:rPr>
        <w:t>Other Matters</w:t>
      </w:r>
    </w:p>
    <w:p w:rsidR="00E26903" w:rsidRPr="00F11AD1" w:rsidRDefault="00E26903" w:rsidP="00E26903">
      <w:pPr>
        <w:spacing w:after="120" w:line="276" w:lineRule="auto"/>
        <w:jc w:val="both"/>
        <w:rPr>
          <w:b/>
          <w:i/>
          <w:color w:val="244061" w:themeColor="accent1" w:themeShade="80"/>
          <w:spacing w:val="15"/>
        </w:rPr>
      </w:pPr>
      <w:r w:rsidRPr="00F11AD1">
        <w:rPr>
          <w:b/>
          <w:i/>
          <w:color w:val="244061" w:themeColor="accent1" w:themeShade="80"/>
          <w:spacing w:val="15"/>
        </w:rPr>
        <w:t xml:space="preserve">Report on Summarized Comparative Information </w:t>
      </w:r>
    </w:p>
    <w:p w:rsidR="00E26903" w:rsidRPr="007C7AFA" w:rsidRDefault="00E26903" w:rsidP="00E26903">
      <w:pPr>
        <w:pStyle w:val="DTextJusified"/>
        <w:rPr>
          <w:rFonts w:ascii="Times New Roman" w:hAnsi="Times New Roman"/>
          <w:noProof w:val="0"/>
          <w:sz w:val="24"/>
          <w:szCs w:val="24"/>
        </w:rPr>
      </w:pPr>
      <w:r w:rsidRPr="007C7AFA">
        <w:rPr>
          <w:rFonts w:ascii="Times New Roman" w:hAnsi="Times New Roman"/>
          <w:noProof w:val="0"/>
          <w:sz w:val="24"/>
          <w:szCs w:val="24"/>
        </w:rPr>
        <w:t>The financial statements include partial prior-year comparative information for the Pierce College Foundation.  Such information does not include all of the information required for a presentation in conformity with accounting principles generally accepted in the United States of America.  Accordingly, such information should be read in conjunction with the Foundation’s financial statements for the year ended December 31, 2013, from which such partial information was derived.  Other auditors have previously audited the Pierce College Foundation’s 2013 financial statements and they expressed an unmodified opinion in their report dated August 11, 2014.</w:t>
      </w:r>
    </w:p>
    <w:p w:rsidR="00E26903" w:rsidRDefault="00E26903" w:rsidP="00E26903">
      <w:pPr>
        <w:pStyle w:val="DTextJusified"/>
        <w:rPr>
          <w:rFonts w:ascii="Times New Roman" w:hAnsi="Times New Roman"/>
          <w:noProof w:val="0"/>
          <w:sz w:val="24"/>
          <w:szCs w:val="24"/>
        </w:rPr>
      </w:pPr>
    </w:p>
    <w:p w:rsidR="00E26903" w:rsidRDefault="00E26903" w:rsidP="00E26903">
      <w:pPr>
        <w:pStyle w:val="DTextJusified"/>
        <w:rPr>
          <w:rFonts w:ascii="Times New Roman" w:hAnsi="Times New Roman"/>
          <w:noProof w:val="0"/>
          <w:sz w:val="24"/>
          <w:szCs w:val="24"/>
        </w:rPr>
      </w:pPr>
    </w:p>
    <w:p w:rsidR="00E26903" w:rsidRDefault="00E26903" w:rsidP="00E26903">
      <w:pPr>
        <w:pStyle w:val="DTextJusified"/>
        <w:rPr>
          <w:rFonts w:ascii="Times New Roman" w:hAnsi="Times New Roman"/>
          <w:noProof w:val="0"/>
          <w:sz w:val="24"/>
          <w:szCs w:val="24"/>
        </w:rPr>
      </w:pPr>
    </w:p>
    <w:p w:rsidR="00E26903" w:rsidRPr="002F2F03" w:rsidRDefault="00E26903" w:rsidP="00E26903">
      <w:pPr>
        <w:spacing w:after="120" w:line="276" w:lineRule="auto"/>
        <w:jc w:val="both"/>
        <w:rPr>
          <w:b/>
          <w:i/>
          <w:color w:val="244061" w:themeColor="accent1" w:themeShade="80"/>
          <w:spacing w:val="15"/>
        </w:rPr>
      </w:pPr>
      <w:r w:rsidRPr="002F2F03">
        <w:rPr>
          <w:b/>
          <w:i/>
          <w:color w:val="244061" w:themeColor="accent1" w:themeShade="80"/>
          <w:spacing w:val="15"/>
        </w:rPr>
        <w:t>Required Supplementary Information</w:t>
      </w:r>
    </w:p>
    <w:p w:rsidR="00E26903" w:rsidRDefault="00E26903" w:rsidP="00E26903">
      <w:pPr>
        <w:spacing w:after="200" w:line="276" w:lineRule="auto"/>
        <w:jc w:val="both"/>
      </w:pPr>
      <w:r w:rsidRPr="008A777A">
        <w:t xml:space="preserve">Accounting principles generally accepted in the United States of America require that the </w:t>
      </w:r>
      <w:r w:rsidRPr="00D1728C">
        <w:t xml:space="preserve">management’s discussion and analysis </w:t>
      </w:r>
      <w:r>
        <w:t>to</w:t>
      </w:r>
      <w:r w:rsidRPr="00D1728C">
        <w:t xml:space="preserve"> be presented to supplement the basic financial statements.  Such information, </w:t>
      </w:r>
      <w:r w:rsidRPr="00D1728C">
        <w:lastRenderedPageBreak/>
        <w:t>although not a part of</w:t>
      </w:r>
      <w:r w:rsidRPr="008A777A">
        <w:t xml:space="preserve"> the basic financial statements, </w:t>
      </w:r>
      <w:r w:rsidRPr="008A777A">
        <w:rPr>
          <w:noProof/>
        </w:rPr>
        <w:t>is</w:t>
      </w:r>
      <w:r w:rsidRPr="008A777A">
        <w:t xml:space="preserve"> required by the Governmental Accounting Standards Board who considers it to be an essential part of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 </w:t>
      </w:r>
    </w:p>
    <w:p w:rsidR="00E26903" w:rsidRPr="00780C29" w:rsidRDefault="00E26903" w:rsidP="00E26903">
      <w:pPr>
        <w:spacing w:after="120" w:line="276" w:lineRule="auto"/>
        <w:jc w:val="both"/>
        <w:rPr>
          <w:b/>
          <w:color w:val="244061" w:themeColor="accent1" w:themeShade="80"/>
          <w:spacing w:val="15"/>
          <w:sz w:val="28"/>
          <w:szCs w:val="28"/>
        </w:rPr>
      </w:pPr>
      <w:r w:rsidRPr="00780C29">
        <w:rPr>
          <w:b/>
          <w:color w:val="244061" w:themeColor="accent1" w:themeShade="80"/>
          <w:spacing w:val="15"/>
          <w:sz w:val="28"/>
          <w:szCs w:val="28"/>
        </w:rPr>
        <w:t>OTHER REPORTING REQUIRED BY GOVERNMENT AUDITING STANDARDS</w:t>
      </w:r>
    </w:p>
    <w:p w:rsidR="00E26903" w:rsidRPr="008A777A" w:rsidRDefault="00E26903" w:rsidP="00E26903">
      <w:pPr>
        <w:widowControl w:val="0"/>
        <w:spacing w:after="200" w:line="276" w:lineRule="auto"/>
        <w:jc w:val="both"/>
        <w:rPr>
          <w:color w:val="000000"/>
        </w:rPr>
      </w:pPr>
      <w:r w:rsidRPr="008A777A">
        <w:rPr>
          <w:color w:val="000000"/>
        </w:rPr>
        <w:t xml:space="preserve">In accordance with </w:t>
      </w:r>
      <w:r w:rsidRPr="008A777A">
        <w:rPr>
          <w:i/>
          <w:color w:val="000000"/>
        </w:rPr>
        <w:t>Government Auditing Standards</w:t>
      </w:r>
      <w:r w:rsidRPr="008A777A">
        <w:rPr>
          <w:color w:val="000000"/>
        </w:rPr>
        <w:t xml:space="preserve">, we have also issued our report dated </w:t>
      </w:r>
      <w:r>
        <w:t>June 2</w:t>
      </w:r>
      <w:r w:rsidRPr="00D1728C">
        <w:t>, 2015 on our consideration of the College’s internal control</w:t>
      </w:r>
      <w:r w:rsidRPr="008A777A">
        <w:rPr>
          <w:color w:val="000000"/>
        </w:rPr>
        <w:t xml:space="preserve">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8A777A">
        <w:rPr>
          <w:i/>
          <w:color w:val="000000"/>
        </w:rPr>
        <w:t>Government Auditing Standards</w:t>
      </w:r>
      <w:r w:rsidRPr="008A777A">
        <w:rPr>
          <w:color w:val="000000"/>
        </w:rPr>
        <w:t xml:space="preserve"> in considering the </w:t>
      </w:r>
      <w:r w:rsidRPr="0022378E">
        <w:t>College’s</w:t>
      </w:r>
      <w:r w:rsidRPr="008A777A">
        <w:rPr>
          <w:color w:val="000000"/>
        </w:rPr>
        <w:t xml:space="preserve"> internal control over financial reporting and compliance.</w:t>
      </w:r>
    </w:p>
    <w:p w:rsidR="00E26903" w:rsidRPr="001E00B1" w:rsidRDefault="00E26903" w:rsidP="00E26903">
      <w:pPr>
        <w:spacing w:before="120" w:line="276" w:lineRule="auto"/>
        <w:rPr>
          <w:caps/>
        </w:rPr>
      </w:pPr>
      <w:r w:rsidRPr="001E00B1">
        <w:rPr>
          <w:noProof/>
        </w:rPr>
        <w:drawing>
          <wp:inline distT="0" distB="0" distL="0" distR="0" wp14:anchorId="06896CB5" wp14:editId="611C063D">
            <wp:extent cx="2057400" cy="800100"/>
            <wp:effectExtent l="0" t="0" r="0" b="0"/>
            <wp:docPr id="26" name="Picture 26" descr="cid:image004.png@01D0896F.D5F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0896F.D5F6A2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inline>
        </w:drawing>
      </w:r>
    </w:p>
    <w:p w:rsidR="00E26903" w:rsidRPr="001E00B1" w:rsidRDefault="00E26903" w:rsidP="00E26903">
      <w:pPr>
        <w:spacing w:before="120" w:after="120" w:line="276" w:lineRule="auto"/>
        <w:rPr>
          <w:caps/>
        </w:rPr>
      </w:pPr>
      <w:r w:rsidRPr="001E00B1">
        <w:rPr>
          <w:caps/>
        </w:rPr>
        <w:t>Jan M. Jutte, CPA, CGFM</w:t>
      </w:r>
    </w:p>
    <w:p w:rsidR="00E26903" w:rsidRPr="001E00B1" w:rsidRDefault="00E26903" w:rsidP="00E26903">
      <w:pPr>
        <w:spacing w:before="120" w:after="120" w:line="276" w:lineRule="auto"/>
        <w:rPr>
          <w:caps/>
        </w:rPr>
      </w:pPr>
      <w:r w:rsidRPr="001E00B1">
        <w:rPr>
          <w:caps/>
        </w:rPr>
        <w:t>ACTING STATE AUDITOR</w:t>
      </w:r>
    </w:p>
    <w:p w:rsidR="00E26903" w:rsidRPr="001802DE" w:rsidRDefault="00E26903" w:rsidP="00E26903"/>
    <w:p w:rsidR="00A94C5D" w:rsidRDefault="00A94C5D" w:rsidP="00A94C5D">
      <w:pPr>
        <w:pStyle w:val="NoSpacing"/>
      </w:pPr>
    </w:p>
    <w:p w:rsidR="00E26903" w:rsidRDefault="00E26903"/>
    <w:p w:rsidR="00E26903" w:rsidRDefault="00E26903"/>
    <w:p w:rsidR="00E26903" w:rsidRDefault="00E26903"/>
    <w:p w:rsidR="00E26903" w:rsidRDefault="00E26903"/>
    <w:p w:rsidR="00E26903" w:rsidRDefault="00E26903"/>
    <w:p w:rsidR="008E4600" w:rsidRDefault="008E4600">
      <w:r>
        <w:br w:type="page"/>
      </w:r>
    </w:p>
    <w:p w:rsidR="00113B57" w:rsidRPr="007B6E06" w:rsidRDefault="00113B57" w:rsidP="003F6741">
      <w:pPr>
        <w:pStyle w:val="Heading1"/>
        <w:rPr>
          <w:rFonts w:ascii="Times New Roman" w:hAnsi="Times New Roman" w:cs="Times New Roman"/>
          <w:color w:val="632423" w:themeColor="accent2" w:themeShade="80"/>
        </w:rPr>
      </w:pPr>
      <w:bookmarkStart w:id="2" w:name="_Toc370714741"/>
      <w:r w:rsidRPr="007B6E06">
        <w:rPr>
          <w:rFonts w:ascii="Times New Roman" w:hAnsi="Times New Roman" w:cs="Times New Roman"/>
          <w:color w:val="632423" w:themeColor="accent2" w:themeShade="80"/>
        </w:rPr>
        <w:lastRenderedPageBreak/>
        <w:t xml:space="preserve">Management’s Discussion </w:t>
      </w:r>
      <w:r w:rsidRPr="007B6E06">
        <w:rPr>
          <w:rFonts w:ascii="Times New Roman" w:hAnsi="Times New Roman" w:cs="Times New Roman"/>
          <w:i/>
          <w:color w:val="632423" w:themeColor="accent2" w:themeShade="80"/>
        </w:rPr>
        <w:t>and</w:t>
      </w:r>
      <w:r w:rsidRPr="007B6E06">
        <w:rPr>
          <w:rFonts w:ascii="Times New Roman" w:hAnsi="Times New Roman" w:cs="Times New Roman"/>
          <w:color w:val="632423" w:themeColor="accent2" w:themeShade="80"/>
        </w:rPr>
        <w:t xml:space="preserve"> Analysis</w:t>
      </w:r>
      <w:bookmarkEnd w:id="2"/>
    </w:p>
    <w:p w:rsidR="00F7095E" w:rsidRPr="007B6E06" w:rsidRDefault="00F7095E" w:rsidP="00F7095E">
      <w:pPr>
        <w:pStyle w:val="Heading2"/>
        <w:rPr>
          <w:rFonts w:ascii="Times New Roman" w:hAnsi="Times New Roman" w:cs="Times New Roman"/>
          <w:color w:val="632423" w:themeColor="accent2" w:themeShade="80"/>
        </w:rPr>
      </w:pPr>
      <w:r w:rsidRPr="007B6E06">
        <w:rPr>
          <w:rFonts w:ascii="Times New Roman" w:hAnsi="Times New Roman" w:cs="Times New Roman"/>
          <w:color w:val="632423" w:themeColor="accent2" w:themeShade="80"/>
        </w:rPr>
        <w:t>Pierce College</w:t>
      </w:r>
    </w:p>
    <w:p w:rsidR="00F7095E" w:rsidRDefault="00F7095E" w:rsidP="00F7095E">
      <w:pPr>
        <w:jc w:val="both"/>
        <w:outlineLvl w:val="0"/>
      </w:pPr>
      <w:r w:rsidRPr="00D157B8">
        <w:t xml:space="preserve">The following discussion and analysis provides an overview of the financial position and </w:t>
      </w:r>
      <w:r w:rsidRPr="00161861">
        <w:t xml:space="preserve">activities of Pierce </w:t>
      </w:r>
      <w:r>
        <w:t>College</w:t>
      </w:r>
      <w:r w:rsidRPr="00D157B8">
        <w:t xml:space="preserve"> (the </w:t>
      </w:r>
      <w:r>
        <w:t>College</w:t>
      </w:r>
      <w:r w:rsidRPr="00D157B8">
        <w:t>) for the fiscal year ended June 30, 201</w:t>
      </w:r>
      <w:r>
        <w:t>4 (FY 2014).</w:t>
      </w:r>
      <w:r w:rsidRPr="00D157B8">
        <w:t xml:space="preserve">  </w:t>
      </w:r>
      <w:r>
        <w:t>The 2014 report constitutes the college’s inaugural audited financial statements.  As a result</w:t>
      </w:r>
      <w:r w:rsidRPr="00D157B8">
        <w:t>,</w:t>
      </w:r>
      <w:r>
        <w:t xml:space="preserve"> comparisons included in this discussion were made with </w:t>
      </w:r>
      <w:r w:rsidRPr="00690929">
        <w:t>unaudited information for the fiscal year ended June 30, 201</w:t>
      </w:r>
      <w:r>
        <w:t>3 (FY 2013), where available</w:t>
      </w:r>
      <w:r w:rsidRPr="00690929">
        <w:t>.</w:t>
      </w:r>
      <w:r>
        <w:t xml:space="preserve"> </w:t>
      </w:r>
    </w:p>
    <w:p w:rsidR="00F7095E" w:rsidRDefault="00F7095E" w:rsidP="00F7095E">
      <w:pPr>
        <w:jc w:val="both"/>
        <w:outlineLvl w:val="0"/>
      </w:pPr>
    </w:p>
    <w:p w:rsidR="00F7095E" w:rsidRDefault="00F7095E" w:rsidP="00F7095E">
      <w:pPr>
        <w:jc w:val="both"/>
        <w:outlineLvl w:val="0"/>
      </w:pPr>
      <w:r w:rsidRPr="00D157B8">
        <w:t xml:space="preserve">This overview </w:t>
      </w:r>
      <w:r>
        <w:t xml:space="preserve">provides readers with an objective and easily readable analysis of the College’s financial performance for the year, based on currently known facts and conditions.  This discussion </w:t>
      </w:r>
      <w:r w:rsidRPr="00D157B8">
        <w:t xml:space="preserve">has been prepared by management and should be read in conjunction with the </w:t>
      </w:r>
      <w:r>
        <w:t>College’s</w:t>
      </w:r>
      <w:r w:rsidRPr="00D157B8">
        <w:t xml:space="preserve"> financial statements and accompanying note disclosures.</w:t>
      </w:r>
    </w:p>
    <w:p w:rsidR="00F7095E" w:rsidRPr="00D157B8" w:rsidRDefault="00F7095E" w:rsidP="00F7095E">
      <w:pPr>
        <w:jc w:val="both"/>
        <w:outlineLvl w:val="0"/>
        <w:rPr>
          <w:rFonts w:cs="Times New Roman"/>
        </w:rPr>
      </w:pPr>
    </w:p>
    <w:p w:rsidR="00F7095E" w:rsidRPr="00D157B8" w:rsidRDefault="00F7095E" w:rsidP="00F7095E">
      <w:pPr>
        <w:autoSpaceDE w:val="0"/>
        <w:autoSpaceDN w:val="0"/>
        <w:adjustRightInd w:val="0"/>
        <w:rPr>
          <w:rFonts w:cs="Times New Roman"/>
          <w:i/>
          <w:iCs/>
        </w:rPr>
      </w:pPr>
      <w:r w:rsidRPr="00D157B8">
        <w:rPr>
          <w:rFonts w:cs="Times New Roman"/>
          <w:i/>
          <w:iCs/>
        </w:rPr>
        <w:t>Reporting Entity</w:t>
      </w:r>
    </w:p>
    <w:p w:rsidR="00F7095E" w:rsidRDefault="00F7095E" w:rsidP="00F7095E">
      <w:pPr>
        <w:autoSpaceDE w:val="0"/>
        <w:autoSpaceDN w:val="0"/>
        <w:adjustRightInd w:val="0"/>
        <w:rPr>
          <w:rFonts w:cs="Times New Roman"/>
        </w:rPr>
      </w:pPr>
      <w:r w:rsidRPr="00161861">
        <w:rPr>
          <w:rFonts w:cs="Times New Roman"/>
        </w:rPr>
        <w:t>Pierce College</w:t>
      </w:r>
      <w:r w:rsidRPr="00D157B8">
        <w:rPr>
          <w:rFonts w:cs="Times New Roman"/>
        </w:rPr>
        <w:t xml:space="preserve"> is one of </w:t>
      </w:r>
      <w:r>
        <w:rPr>
          <w:rFonts w:cs="Times New Roman"/>
        </w:rPr>
        <w:t>thirty</w:t>
      </w:r>
      <w:r w:rsidRPr="00D157B8">
        <w:rPr>
          <w:rFonts w:cs="Times New Roman"/>
        </w:rPr>
        <w:t xml:space="preserve"> </w:t>
      </w:r>
      <w:r>
        <w:rPr>
          <w:rFonts w:cs="Times New Roman"/>
        </w:rPr>
        <w:t>public community and technical college districts</w:t>
      </w:r>
      <w:r w:rsidRPr="00D157B8">
        <w:rPr>
          <w:rFonts w:cs="Times New Roman"/>
        </w:rPr>
        <w:t xml:space="preserve"> in the state of</w:t>
      </w:r>
      <w:r>
        <w:rPr>
          <w:rFonts w:cs="Times New Roman"/>
        </w:rPr>
        <w:t xml:space="preserve"> </w:t>
      </w:r>
      <w:r w:rsidRPr="00D157B8">
        <w:rPr>
          <w:rFonts w:cs="Times New Roman"/>
        </w:rPr>
        <w:t xml:space="preserve">Washington, providing </w:t>
      </w:r>
      <w:r>
        <w:rPr>
          <w:rFonts w:cs="Times New Roman"/>
        </w:rPr>
        <w:t xml:space="preserve">comprehensive, open-door academic programs, workforce education, basic skills and community service </w:t>
      </w:r>
      <w:r w:rsidRPr="00D157B8">
        <w:rPr>
          <w:rFonts w:cs="Times New Roman"/>
        </w:rPr>
        <w:t xml:space="preserve">educational programs to </w:t>
      </w:r>
      <w:r w:rsidRPr="00084F46">
        <w:rPr>
          <w:rFonts w:cs="Times New Roman"/>
        </w:rPr>
        <w:t xml:space="preserve">approximately </w:t>
      </w:r>
      <w:r w:rsidR="00084F46" w:rsidRPr="00084F46">
        <w:rPr>
          <w:rFonts w:cs="Times New Roman"/>
        </w:rPr>
        <w:t>18,000</w:t>
      </w:r>
      <w:r w:rsidRPr="00D157B8">
        <w:rPr>
          <w:rFonts w:cs="Times New Roman"/>
        </w:rPr>
        <w:t xml:space="preserve"> students. </w:t>
      </w:r>
      <w:r>
        <w:rPr>
          <w:rFonts w:cs="Times New Roman"/>
        </w:rPr>
        <w:t xml:space="preserve"> The College confers associates degrees, certificates and high school diplomas.  </w:t>
      </w:r>
      <w:r w:rsidRPr="00D157B8">
        <w:rPr>
          <w:rFonts w:cs="Times New Roman"/>
        </w:rPr>
        <w:t>The</w:t>
      </w:r>
      <w:r>
        <w:rPr>
          <w:rFonts w:cs="Times New Roman"/>
        </w:rPr>
        <w:t xml:space="preserve"> </w:t>
      </w:r>
      <w:r w:rsidRPr="00D157B8">
        <w:rPr>
          <w:rFonts w:cs="Times New Roman"/>
        </w:rPr>
        <w:t xml:space="preserve">College was established in </w:t>
      </w:r>
      <w:r w:rsidRPr="00161861">
        <w:rPr>
          <w:rFonts w:cs="Times New Roman"/>
        </w:rPr>
        <w:t xml:space="preserve">1967 </w:t>
      </w:r>
      <w:r w:rsidRPr="00D157B8">
        <w:rPr>
          <w:rFonts w:cs="Times New Roman"/>
        </w:rPr>
        <w:t>and its primary purpose is to</w:t>
      </w:r>
      <w:r>
        <w:rPr>
          <w:rFonts w:cs="Times New Roman"/>
        </w:rPr>
        <w:t xml:space="preserve"> create quality educational opportunities for a diverse community of learners to thrive in an evolving world. </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sidRPr="00161861">
        <w:rPr>
          <w:rFonts w:cs="Times New Roman"/>
        </w:rPr>
        <w:t xml:space="preserve">The College’s main campuses are located in Lakewood and Puyallup, Washington, a community of </w:t>
      </w:r>
      <w:r w:rsidRPr="005135EA">
        <w:rPr>
          <w:rFonts w:cs="Times New Roman"/>
        </w:rPr>
        <w:t>about 95,403 residents</w:t>
      </w:r>
      <w:r w:rsidRPr="00161861">
        <w:rPr>
          <w:rFonts w:cs="Times New Roman"/>
        </w:rPr>
        <w:t>.  The College also provides educational programs on Joint Base Lewis-</w:t>
      </w:r>
      <w:proofErr w:type="spellStart"/>
      <w:r w:rsidRPr="00161861">
        <w:rPr>
          <w:rFonts w:cs="Times New Roman"/>
        </w:rPr>
        <w:t>McChord</w:t>
      </w:r>
      <w:proofErr w:type="spellEnd"/>
      <w:r>
        <w:rPr>
          <w:rFonts w:cs="Times New Roman"/>
        </w:rPr>
        <w:t xml:space="preserve">, which supports 40,000 active, Guard and Reserve Service members as well as 60,000 family members who live on and outside the base. </w:t>
      </w:r>
      <w:r w:rsidRPr="00161861">
        <w:rPr>
          <w:rFonts w:cs="Times New Roman"/>
        </w:rPr>
        <w:t>The College is governed by a five member Board of Trustees appointed by the</w:t>
      </w:r>
      <w:r w:rsidRPr="00D157B8">
        <w:rPr>
          <w:rFonts w:cs="Times New Roman"/>
        </w:rPr>
        <w:t xml:space="preserve"> governor of the state with the</w:t>
      </w:r>
      <w:r>
        <w:rPr>
          <w:rFonts w:cs="Times New Roman"/>
        </w:rPr>
        <w:t xml:space="preserve"> </w:t>
      </w:r>
      <w:r w:rsidRPr="00D157B8">
        <w:rPr>
          <w:rFonts w:cs="Times New Roman"/>
        </w:rPr>
        <w:t>consent of the state Senate. By statute, the Board of</w:t>
      </w:r>
      <w:r>
        <w:rPr>
          <w:rFonts w:cs="Times New Roman"/>
        </w:rPr>
        <w:t xml:space="preserve"> </w:t>
      </w:r>
      <w:r w:rsidRPr="00D157B8">
        <w:rPr>
          <w:rFonts w:cs="Times New Roman"/>
        </w:rPr>
        <w:t>Trustees has full control of the College, except as otherwise provided by law.</w:t>
      </w:r>
    </w:p>
    <w:p w:rsidR="00F7095E" w:rsidRPr="00D157B8" w:rsidRDefault="00F7095E" w:rsidP="00F7095E">
      <w:pPr>
        <w:autoSpaceDE w:val="0"/>
        <w:autoSpaceDN w:val="0"/>
        <w:adjustRightInd w:val="0"/>
        <w:rPr>
          <w:rFonts w:cs="Times New Roman"/>
        </w:rPr>
      </w:pPr>
    </w:p>
    <w:p w:rsidR="00F7095E" w:rsidRPr="00D157B8" w:rsidRDefault="00F7095E" w:rsidP="00F7095E">
      <w:pPr>
        <w:autoSpaceDE w:val="0"/>
        <w:autoSpaceDN w:val="0"/>
        <w:adjustRightInd w:val="0"/>
        <w:rPr>
          <w:rFonts w:cs="Times New Roman"/>
          <w:i/>
          <w:iCs/>
        </w:rPr>
      </w:pPr>
      <w:r w:rsidRPr="00D157B8">
        <w:rPr>
          <w:rFonts w:cs="Times New Roman"/>
          <w:i/>
          <w:iCs/>
        </w:rPr>
        <w:t>Using the Financial Statements</w:t>
      </w:r>
    </w:p>
    <w:p w:rsidR="00F7095E" w:rsidRDefault="00F7095E" w:rsidP="00F7095E">
      <w:pPr>
        <w:autoSpaceDE w:val="0"/>
        <w:autoSpaceDN w:val="0"/>
        <w:adjustRightInd w:val="0"/>
        <w:rPr>
          <w:rFonts w:cs="Times New Roman"/>
        </w:rPr>
      </w:pPr>
      <w:r w:rsidRPr="00D157B8">
        <w:rPr>
          <w:rFonts w:cs="Times New Roman"/>
        </w:rPr>
        <w:t xml:space="preserve">The </w:t>
      </w:r>
      <w:r>
        <w:rPr>
          <w:rFonts w:cs="Times New Roman"/>
        </w:rPr>
        <w:t xml:space="preserve">financial statements presented in this report encompass the College and </w:t>
      </w:r>
      <w:proofErr w:type="gramStart"/>
      <w:r>
        <w:rPr>
          <w:rFonts w:cs="Times New Roman"/>
        </w:rPr>
        <w:t>its</w:t>
      </w:r>
      <w:proofErr w:type="gramEnd"/>
      <w:r>
        <w:rPr>
          <w:rFonts w:cs="Times New Roman"/>
        </w:rPr>
        <w:t xml:space="preserve"> discretely presented component unit</w:t>
      </w:r>
      <w:r w:rsidRPr="00CD241B">
        <w:rPr>
          <w:rFonts w:cs="Times New Roman"/>
          <w:i/>
        </w:rPr>
        <w:t>(s)</w:t>
      </w:r>
      <w:r>
        <w:rPr>
          <w:rFonts w:cs="Times New Roman"/>
        </w:rPr>
        <w:t xml:space="preserve">.  The </w:t>
      </w:r>
      <w:r w:rsidRPr="00D157B8">
        <w:rPr>
          <w:rFonts w:cs="Times New Roman"/>
        </w:rPr>
        <w:t>College</w:t>
      </w:r>
      <w:r>
        <w:rPr>
          <w:rFonts w:cs="Times New Roman"/>
        </w:rPr>
        <w:t>’s financial statements include the Statement of Net Position; the Statement of Revenues, Expenses and Changes in Net Position, and the Statement of Cash Flows.  The Statement of Net Position provides information about the College at a moment in time, at year-end.  The Statement of Revenue, Expenses and Changes in Net Position and the Statement of Cash flows provide information about operations and activities over a period of time.  Together, these statements, along with the accompanying notes, provide a comprehensive way to assess the college’s financial health as a whole.</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 xml:space="preserve">The Statement of Net Position and Statement of Revenues, Expenses and Changes in Net position are reported under the accrual basis of accounting where all of the current year’s revenues and expenses are taken into account regardless of when cash is received or payments are made.  Full accrual statements are intended to provide a view of the College’s financial position similar to that presented by most private-sector companies.  These financial statements are prepared in accordance with generally accepted accounting principles as prescribed by the </w:t>
      </w:r>
      <w:r w:rsidRPr="00D157B8">
        <w:rPr>
          <w:rFonts w:cs="Times New Roman"/>
        </w:rPr>
        <w:t>Governmental Accounting Standards Board (GASB)</w:t>
      </w:r>
      <w:r>
        <w:rPr>
          <w:rFonts w:cs="Times New Roman"/>
        </w:rPr>
        <w:t>, which establishes standards for external financial reporting for public colleges and universities.  The full scope of the College’s activities is considered to be a single business-type activity and accordingly, is reported within a single column in the basic financial statements.</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b/>
        </w:rPr>
      </w:pPr>
    </w:p>
    <w:p w:rsidR="00F7095E" w:rsidRPr="009211A5" w:rsidRDefault="00F7095E" w:rsidP="00F7095E">
      <w:pPr>
        <w:autoSpaceDE w:val="0"/>
        <w:autoSpaceDN w:val="0"/>
        <w:adjustRightInd w:val="0"/>
        <w:rPr>
          <w:rFonts w:cs="Times New Roman"/>
          <w:b/>
          <w:color w:val="262626" w:themeColor="text1" w:themeTint="D9"/>
        </w:rPr>
      </w:pPr>
      <w:r w:rsidRPr="009211A5">
        <w:rPr>
          <w:rFonts w:cs="Times New Roman"/>
          <w:b/>
          <w:color w:val="262626" w:themeColor="text1" w:themeTint="D9"/>
        </w:rPr>
        <w:t>Statement of Net Position</w:t>
      </w:r>
    </w:p>
    <w:p w:rsidR="00F7095E" w:rsidRDefault="00F7095E" w:rsidP="00F7095E">
      <w:pPr>
        <w:autoSpaceDE w:val="0"/>
        <w:autoSpaceDN w:val="0"/>
        <w:adjustRightInd w:val="0"/>
        <w:rPr>
          <w:rFonts w:cs="Times New Roman"/>
        </w:rPr>
      </w:pPr>
      <w:r>
        <w:rPr>
          <w:rFonts w:cs="Times New Roman"/>
        </w:rPr>
        <w:t>The Statement</w:t>
      </w:r>
      <w:r w:rsidRPr="00F7213E">
        <w:rPr>
          <w:rFonts w:cs="Times New Roman"/>
        </w:rPr>
        <w:t xml:space="preserve"> of Net </w:t>
      </w:r>
      <w:r>
        <w:rPr>
          <w:rFonts w:cs="Times New Roman"/>
        </w:rPr>
        <w:t>Position</w:t>
      </w:r>
      <w:r w:rsidRPr="00F7213E">
        <w:rPr>
          <w:rFonts w:cs="Times New Roman"/>
        </w:rPr>
        <w:t xml:space="preserve"> provide</w:t>
      </w:r>
      <w:r>
        <w:rPr>
          <w:rFonts w:cs="Times New Roman"/>
        </w:rPr>
        <w:t>s</w:t>
      </w:r>
      <w:r w:rsidRPr="00F7213E">
        <w:rPr>
          <w:rFonts w:cs="Times New Roman"/>
        </w:rPr>
        <w:t xml:space="preserve"> information about the College’s financial position, and presents the</w:t>
      </w:r>
      <w:r>
        <w:rPr>
          <w:rFonts w:cs="Times New Roman"/>
        </w:rPr>
        <w:t xml:space="preserve"> </w:t>
      </w:r>
      <w:r w:rsidRPr="00F7213E">
        <w:rPr>
          <w:rFonts w:cs="Times New Roman"/>
        </w:rPr>
        <w:t xml:space="preserve">College’s assets, liabilities, and net assets at year-end and includes all assets and liabilities of the College. </w:t>
      </w:r>
      <w:r>
        <w:rPr>
          <w:rFonts w:cs="Times New Roman"/>
        </w:rPr>
        <w:t xml:space="preserve"> A condensed comparison of the </w:t>
      </w:r>
      <w:r w:rsidRPr="00F7213E">
        <w:rPr>
          <w:rFonts w:cs="Times New Roman"/>
        </w:rPr>
        <w:t xml:space="preserve">Statement of Net </w:t>
      </w:r>
      <w:r>
        <w:rPr>
          <w:rFonts w:cs="Times New Roman"/>
        </w:rPr>
        <w:t>Position is as follows:</w:t>
      </w:r>
    </w:p>
    <w:p w:rsidR="00F7095E" w:rsidRDefault="00F7095E" w:rsidP="00F7095E">
      <w:pPr>
        <w:autoSpaceDE w:val="0"/>
        <w:autoSpaceDN w:val="0"/>
        <w:adjustRightInd w:val="0"/>
        <w:rPr>
          <w:rFonts w:cs="Times New Roman"/>
        </w:rPr>
      </w:pPr>
    </w:p>
    <w:bookmarkStart w:id="3" w:name="_MON_1453979102"/>
    <w:bookmarkEnd w:id="3"/>
    <w:p w:rsidR="00F7095E" w:rsidRDefault="0022464D" w:rsidP="00F7095E">
      <w:pPr>
        <w:autoSpaceDE w:val="0"/>
        <w:autoSpaceDN w:val="0"/>
        <w:adjustRightInd w:val="0"/>
        <w:rPr>
          <w:rFonts w:cs="Times New Roman"/>
        </w:rPr>
      </w:pPr>
      <w:r w:rsidRPr="00C41CE8">
        <w:object w:dxaOrig="8302" w:dyaOrig="4213">
          <v:shape id="_x0000_i1027" type="#_x0000_t75" style="width:414pt;height:210.6pt" o:ole="">
            <v:imagedata r:id="rId14" o:title=""/>
          </v:shape>
          <o:OLEObject Type="Embed" ProgID="Excel.Sheet.12" ShapeID="_x0000_i1027" DrawAspect="Content" ObjectID="_1494923877" r:id="rId15"/>
        </w:object>
      </w:r>
    </w:p>
    <w:p w:rsidR="00F7095E" w:rsidRDefault="00F7095E" w:rsidP="00F7095E">
      <w:pPr>
        <w:autoSpaceDE w:val="0"/>
        <w:autoSpaceDN w:val="0"/>
        <w:adjustRightInd w:val="0"/>
        <w:rPr>
          <w:rFonts w:cs="Times New Roman"/>
        </w:rPr>
      </w:pPr>
    </w:p>
    <w:p w:rsidR="00F7095E" w:rsidRPr="00CA1D4C" w:rsidRDefault="00F7095E" w:rsidP="00F7095E">
      <w:pPr>
        <w:autoSpaceDE w:val="0"/>
        <w:autoSpaceDN w:val="0"/>
        <w:adjustRightInd w:val="0"/>
        <w:rPr>
          <w:rFonts w:cs="Times New Roman"/>
        </w:rPr>
      </w:pPr>
      <w:r w:rsidRPr="00F7213E">
        <w:rPr>
          <w:rFonts w:cs="Times New Roman"/>
        </w:rPr>
        <w:t>Current assets consist primarily of cash, investments, and various acco</w:t>
      </w:r>
      <w:r>
        <w:rPr>
          <w:rFonts w:cs="Times New Roman"/>
        </w:rPr>
        <w:t>unts receivables</w:t>
      </w:r>
      <w:r w:rsidRPr="00F7213E">
        <w:rPr>
          <w:rFonts w:cs="Times New Roman"/>
        </w:rPr>
        <w:t xml:space="preserve">. </w:t>
      </w:r>
      <w:r>
        <w:rPr>
          <w:rFonts w:cs="Times New Roman"/>
        </w:rPr>
        <w:t xml:space="preserve"> </w:t>
      </w:r>
      <w:r w:rsidRPr="00F7213E">
        <w:rPr>
          <w:rFonts w:cs="Times New Roman"/>
        </w:rPr>
        <w:t xml:space="preserve">The </w:t>
      </w:r>
      <w:r>
        <w:rPr>
          <w:rFonts w:cs="Times New Roman"/>
        </w:rPr>
        <w:t xml:space="preserve">significant decrease of current assets in FY 2014 </w:t>
      </w:r>
      <w:r w:rsidRPr="00F7213E">
        <w:rPr>
          <w:rFonts w:cs="Times New Roman"/>
        </w:rPr>
        <w:t xml:space="preserve">can be attributed to </w:t>
      </w:r>
      <w:r w:rsidRPr="00CA1D4C">
        <w:rPr>
          <w:rFonts w:cs="Times New Roman"/>
        </w:rPr>
        <w:t>deliberate changes in the College’s investment strategy.</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Net c</w:t>
      </w:r>
      <w:r w:rsidRPr="00F7213E">
        <w:rPr>
          <w:rFonts w:cs="Times New Roman"/>
        </w:rPr>
        <w:t xml:space="preserve">apital assets </w:t>
      </w:r>
      <w:r w:rsidR="002843B0">
        <w:rPr>
          <w:rFonts w:cs="Times New Roman"/>
        </w:rPr>
        <w:t xml:space="preserve">decreased by </w:t>
      </w:r>
      <w:r w:rsidRPr="00F62711">
        <w:rPr>
          <w:rFonts w:cs="Times New Roman"/>
        </w:rPr>
        <w:t>1,600,172</w:t>
      </w:r>
      <w:r>
        <w:rPr>
          <w:rFonts w:cs="Times New Roman"/>
        </w:rPr>
        <w:t xml:space="preserve"> from FY 2013</w:t>
      </w:r>
      <w:r w:rsidRPr="00F7213E">
        <w:rPr>
          <w:rFonts w:cs="Times New Roman"/>
        </w:rPr>
        <w:t xml:space="preserve"> to</w:t>
      </w:r>
      <w:r>
        <w:rPr>
          <w:rFonts w:cs="Times New Roman"/>
        </w:rPr>
        <w:t xml:space="preserve"> FY </w:t>
      </w:r>
      <w:r w:rsidRPr="00F7213E">
        <w:rPr>
          <w:rFonts w:cs="Times New Roman"/>
        </w:rPr>
        <w:t>201</w:t>
      </w:r>
      <w:r>
        <w:rPr>
          <w:rFonts w:cs="Times New Roman"/>
        </w:rPr>
        <w:t>4</w:t>
      </w:r>
      <w:r w:rsidRPr="00F7213E">
        <w:rPr>
          <w:rFonts w:cs="Times New Roman"/>
        </w:rPr>
        <w:t xml:space="preserve">. </w:t>
      </w:r>
      <w:r>
        <w:rPr>
          <w:rFonts w:cs="Times New Roman"/>
        </w:rPr>
        <w:t xml:space="preserve"> The decrease is primarily the result of </w:t>
      </w:r>
      <w:r w:rsidRPr="00F7213E">
        <w:rPr>
          <w:rFonts w:cs="Times New Roman"/>
        </w:rPr>
        <w:t xml:space="preserve">current depreciation expense </w:t>
      </w:r>
      <w:r w:rsidR="002843B0">
        <w:rPr>
          <w:rFonts w:cs="Times New Roman"/>
        </w:rPr>
        <w:t xml:space="preserve">of </w:t>
      </w:r>
      <w:r w:rsidRPr="00F62711">
        <w:rPr>
          <w:rFonts w:cs="Times New Roman"/>
        </w:rPr>
        <w:t>5,072,434.</w:t>
      </w:r>
      <w:r>
        <w:rPr>
          <w:rFonts w:cs="Times New Roman"/>
        </w:rPr>
        <w:t xml:space="preserve"> This decrease was offset in part by ongoing acquisitions of </w:t>
      </w:r>
      <w:proofErr w:type="spellStart"/>
      <w:r>
        <w:rPr>
          <w:rFonts w:cs="Times New Roman"/>
        </w:rPr>
        <w:t>capitalizable</w:t>
      </w:r>
      <w:proofErr w:type="spellEnd"/>
      <w:r>
        <w:rPr>
          <w:rFonts w:cs="Times New Roman"/>
        </w:rPr>
        <w:t xml:space="preserve"> equipment. </w:t>
      </w:r>
    </w:p>
    <w:p w:rsidR="00F7095E" w:rsidRDefault="00F7095E" w:rsidP="00F7095E">
      <w:pPr>
        <w:autoSpaceDE w:val="0"/>
        <w:autoSpaceDN w:val="0"/>
        <w:adjustRightInd w:val="0"/>
        <w:rPr>
          <w:rFonts w:cs="Times New Roman"/>
        </w:rPr>
      </w:pPr>
    </w:p>
    <w:p w:rsidR="00F7095E" w:rsidRPr="0052568D" w:rsidRDefault="00F7095E" w:rsidP="00F7095E">
      <w:pPr>
        <w:autoSpaceDE w:val="0"/>
        <w:autoSpaceDN w:val="0"/>
        <w:adjustRightInd w:val="0"/>
        <w:rPr>
          <w:sz w:val="16"/>
          <w:szCs w:val="16"/>
          <w:highlight w:val="lightGray"/>
        </w:rPr>
      </w:pPr>
      <w:r>
        <w:rPr>
          <w:rFonts w:cs="Times New Roman"/>
        </w:rPr>
        <w:t xml:space="preserve">Non-current assets consist primarily of the long-term portion of certain investments </w:t>
      </w:r>
      <w:r w:rsidRPr="00F62711">
        <w:rPr>
          <w:rFonts w:cs="Times New Roman"/>
        </w:rPr>
        <w:t xml:space="preserve">and student </w:t>
      </w:r>
      <w:r w:rsidRPr="00C41F97">
        <w:rPr>
          <w:rFonts w:cs="Times New Roman"/>
        </w:rPr>
        <w:t>loans receivable.  The college makes Student Loans as part of the Federal Perkins Loan Program CFDA No. 84.038</w:t>
      </w:r>
      <w:r w:rsidRPr="00C41F97">
        <w:rPr>
          <w:rFonts w:cs="Times New Roman"/>
          <w:i/>
        </w:rPr>
        <w:t xml:space="preserve">. </w:t>
      </w:r>
      <w:r w:rsidRPr="00A30B36">
        <w:rPr>
          <w:rFonts w:cs="Times New Roman"/>
        </w:rPr>
        <w:t>Loans receivable decreased as existing loans are paid down.</w:t>
      </w:r>
      <w:r>
        <w:rPr>
          <w:rFonts w:cs="Times New Roman"/>
          <w:i/>
        </w:rPr>
        <w:t xml:space="preserve"> </w:t>
      </w:r>
    </w:p>
    <w:p w:rsidR="00F7095E" w:rsidRPr="00165568"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sidRPr="00F7213E">
        <w:rPr>
          <w:rFonts w:cs="Times New Roman"/>
        </w:rPr>
        <w:t>Current liabilities include amounts payable to suppliers for goods and services, accrued payroll and related</w:t>
      </w:r>
      <w:r>
        <w:rPr>
          <w:rFonts w:cs="Times New Roman"/>
        </w:rPr>
        <w:t xml:space="preserve"> </w:t>
      </w:r>
      <w:r w:rsidRPr="00F7213E">
        <w:rPr>
          <w:rFonts w:cs="Times New Roman"/>
        </w:rPr>
        <w:t>liabilities</w:t>
      </w:r>
      <w:r w:rsidRPr="001D759B">
        <w:rPr>
          <w:rFonts w:cs="Times New Roman"/>
        </w:rPr>
        <w:t>, the current portion of Certificate of Participation (COP) debt, deposits</w:t>
      </w:r>
      <w:r w:rsidRPr="00F7213E">
        <w:rPr>
          <w:rFonts w:cs="Times New Roman"/>
        </w:rPr>
        <w:t xml:space="preserve"> held for others and unearned revenue. </w:t>
      </w:r>
      <w:r>
        <w:rPr>
          <w:rFonts w:cs="Times New Roman"/>
        </w:rPr>
        <w:t xml:space="preserve"> </w:t>
      </w:r>
      <w:r w:rsidRPr="00F7213E">
        <w:rPr>
          <w:rFonts w:cs="Times New Roman"/>
        </w:rPr>
        <w:t>Current liabilities can fluctuate from year to</w:t>
      </w:r>
      <w:r>
        <w:rPr>
          <w:rFonts w:cs="Times New Roman"/>
        </w:rPr>
        <w:t xml:space="preserve"> </w:t>
      </w:r>
      <w:r w:rsidRPr="00F7213E">
        <w:rPr>
          <w:rFonts w:cs="Times New Roman"/>
        </w:rPr>
        <w:t xml:space="preserve">year depending on </w:t>
      </w:r>
      <w:r>
        <w:rPr>
          <w:rFonts w:cs="Times New Roman"/>
        </w:rPr>
        <w:t>the timeliness of</w:t>
      </w:r>
      <w:r w:rsidRPr="00F7213E">
        <w:rPr>
          <w:rFonts w:cs="Times New Roman"/>
        </w:rPr>
        <w:t xml:space="preserve"> vendor invoices and </w:t>
      </w:r>
      <w:r>
        <w:rPr>
          <w:rFonts w:cs="Times New Roman"/>
        </w:rPr>
        <w:t>resulting</w:t>
      </w:r>
      <w:r w:rsidRPr="00F7213E">
        <w:rPr>
          <w:rFonts w:cs="Times New Roman"/>
        </w:rPr>
        <w:t xml:space="preserve"> vendor </w:t>
      </w:r>
      <w:r w:rsidRPr="008F41F1">
        <w:rPr>
          <w:rFonts w:cs="Times New Roman"/>
        </w:rPr>
        <w:t>payments, especially in the area of capital asset</w:t>
      </w:r>
      <w:r>
        <w:rPr>
          <w:rFonts w:cs="Times New Roman"/>
        </w:rPr>
        <w:t>s and</w:t>
      </w:r>
      <w:r w:rsidRPr="008F41F1">
        <w:rPr>
          <w:rFonts w:cs="Times New Roman"/>
        </w:rPr>
        <w:t xml:space="preserve"> improvements.</w:t>
      </w:r>
      <w:r>
        <w:rPr>
          <w:rFonts w:cs="Times New Roman"/>
        </w:rPr>
        <w:t xml:space="preserve"> </w:t>
      </w:r>
      <w:r w:rsidRPr="00F7213E">
        <w:rPr>
          <w:rFonts w:cs="Times New Roman"/>
        </w:rPr>
        <w:t xml:space="preserve"> </w:t>
      </w:r>
    </w:p>
    <w:p w:rsidR="009620D8" w:rsidRDefault="009620D8"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 xml:space="preserve">Non-current liabilities primarily consist of the value of vacation and sick leave earned but not yet used by employees </w:t>
      </w:r>
      <w:r w:rsidRPr="001D759B">
        <w:rPr>
          <w:rFonts w:cs="Times New Roman"/>
        </w:rPr>
        <w:t>and the long-term portion of Certificates of Participation debt.</w:t>
      </w:r>
      <w:r>
        <w:rPr>
          <w:rFonts w:cs="Times New Roman"/>
        </w:rPr>
        <w:t xml:space="preserve"> </w:t>
      </w:r>
    </w:p>
    <w:p w:rsidR="00F7095E" w:rsidRDefault="00F7095E" w:rsidP="00F7095E">
      <w:pPr>
        <w:autoSpaceDE w:val="0"/>
        <w:autoSpaceDN w:val="0"/>
        <w:adjustRightInd w:val="0"/>
        <w:rPr>
          <w:rFonts w:cs="Times New Roman"/>
        </w:rPr>
      </w:pPr>
    </w:p>
    <w:p w:rsidR="00F7095E" w:rsidRPr="00F81188" w:rsidRDefault="00F7095E" w:rsidP="00F7095E">
      <w:pPr>
        <w:autoSpaceDE w:val="0"/>
        <w:autoSpaceDN w:val="0"/>
        <w:adjustRightInd w:val="0"/>
        <w:rPr>
          <w:rFonts w:cs="Times New Roman"/>
        </w:rPr>
      </w:pPr>
      <w:r w:rsidRPr="00C41F97">
        <w:rPr>
          <w:rFonts w:cs="Times New Roman"/>
        </w:rPr>
        <w:t>The College’s non-current liabilities continue to decrease as the College pays down the principal owed on Certificates of Participation for the Pierce College Fort Steilacoom Health Education Center (HEC) and the Pierce College Puyallup Health Education Center (HEP).</w:t>
      </w:r>
      <w:r>
        <w:rPr>
          <w:rFonts w:cs="Times New Roman"/>
          <w:i/>
        </w:rPr>
        <w:t xml:space="preserve"> </w:t>
      </w:r>
      <w:r w:rsidRPr="00F81188">
        <w:rPr>
          <w:rFonts w:cs="Times New Roman"/>
        </w:rPr>
        <w:t>The changes in non-current liabilities</w:t>
      </w:r>
      <w:r>
        <w:rPr>
          <w:rFonts w:cs="Times New Roman"/>
        </w:rPr>
        <w:t xml:space="preserve"> </w:t>
      </w:r>
      <w:r>
        <w:rPr>
          <w:rFonts w:cs="Times New Roman"/>
        </w:rPr>
        <w:lastRenderedPageBreak/>
        <w:t>also</w:t>
      </w:r>
      <w:r w:rsidRPr="00F81188">
        <w:rPr>
          <w:rFonts w:cs="Times New Roman"/>
        </w:rPr>
        <w:t xml:space="preserve"> include</w:t>
      </w:r>
      <w:r>
        <w:rPr>
          <w:rFonts w:cs="Times New Roman"/>
        </w:rPr>
        <w:t>s</w:t>
      </w:r>
      <w:r w:rsidRPr="00F81188">
        <w:rPr>
          <w:rFonts w:cs="Times New Roman"/>
        </w:rPr>
        <w:t xml:space="preserve"> increases to vacation and sick leave balances as employees used unpaid Temporary Salary Reduction leave in lieu of paid leave.</w:t>
      </w:r>
    </w:p>
    <w:p w:rsidR="00F7095E" w:rsidRPr="00F7213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sidRPr="00F7213E">
        <w:rPr>
          <w:rFonts w:cs="Times New Roman"/>
        </w:rPr>
        <w:t xml:space="preserve">Net </w:t>
      </w:r>
      <w:r>
        <w:rPr>
          <w:rFonts w:cs="Times New Roman"/>
        </w:rPr>
        <w:t>position</w:t>
      </w:r>
      <w:r w:rsidRPr="00F7213E">
        <w:rPr>
          <w:rFonts w:cs="Times New Roman"/>
        </w:rPr>
        <w:t xml:space="preserve"> represent</w:t>
      </w:r>
      <w:r>
        <w:rPr>
          <w:rFonts w:cs="Times New Roman"/>
        </w:rPr>
        <w:t xml:space="preserve">s </w:t>
      </w:r>
      <w:r w:rsidRPr="00F7213E">
        <w:rPr>
          <w:rFonts w:cs="Times New Roman"/>
        </w:rPr>
        <w:t>the</w:t>
      </w:r>
      <w:r>
        <w:rPr>
          <w:rFonts w:cs="Times New Roman"/>
        </w:rPr>
        <w:t xml:space="preserve"> value of the </w:t>
      </w:r>
      <w:r w:rsidRPr="00F7213E">
        <w:rPr>
          <w:rFonts w:cs="Times New Roman"/>
        </w:rPr>
        <w:t>College’s assets</w:t>
      </w:r>
      <w:r>
        <w:rPr>
          <w:rFonts w:cs="Times New Roman"/>
        </w:rPr>
        <w:t xml:space="preserve"> and deferred outflows </w:t>
      </w:r>
      <w:r w:rsidRPr="00F7213E">
        <w:rPr>
          <w:rFonts w:cs="Times New Roman"/>
        </w:rPr>
        <w:t>after liabilities</w:t>
      </w:r>
      <w:r>
        <w:rPr>
          <w:rFonts w:cs="Times New Roman"/>
        </w:rPr>
        <w:t xml:space="preserve"> and deferred inflows</w:t>
      </w:r>
      <w:r w:rsidRPr="00F7213E">
        <w:rPr>
          <w:rFonts w:cs="Times New Roman"/>
        </w:rPr>
        <w:t xml:space="preserve"> are deducted.</w:t>
      </w:r>
      <w:r>
        <w:rPr>
          <w:rFonts w:cs="Times New Roman"/>
        </w:rPr>
        <w:t xml:space="preserve"> </w:t>
      </w:r>
      <w:r w:rsidRPr="00F7213E">
        <w:rPr>
          <w:rFonts w:cs="Times New Roman"/>
        </w:rPr>
        <w:t xml:space="preserve"> The College</w:t>
      </w:r>
      <w:r>
        <w:rPr>
          <w:rFonts w:cs="Times New Roman"/>
        </w:rPr>
        <w:t xml:space="preserve"> is required by accounting standards to </w:t>
      </w:r>
      <w:r w:rsidRPr="00F7213E">
        <w:rPr>
          <w:rFonts w:cs="Times New Roman"/>
        </w:rPr>
        <w:t xml:space="preserve">report its net </w:t>
      </w:r>
      <w:r>
        <w:rPr>
          <w:rFonts w:cs="Times New Roman"/>
        </w:rPr>
        <w:t>position</w:t>
      </w:r>
      <w:r w:rsidRPr="00F7213E">
        <w:rPr>
          <w:rFonts w:cs="Times New Roman"/>
        </w:rPr>
        <w:t xml:space="preserve"> in four categories:</w:t>
      </w:r>
    </w:p>
    <w:p w:rsidR="00F7095E" w:rsidRPr="00F7213E" w:rsidRDefault="00F7095E" w:rsidP="00F7095E">
      <w:pPr>
        <w:autoSpaceDE w:val="0"/>
        <w:autoSpaceDN w:val="0"/>
        <w:adjustRightInd w:val="0"/>
        <w:rPr>
          <w:rFonts w:cs="Times New Roman"/>
        </w:rPr>
      </w:pPr>
    </w:p>
    <w:p w:rsidR="00F7095E" w:rsidRPr="00F7213E" w:rsidRDefault="00A94C5D" w:rsidP="00F7095E">
      <w:pPr>
        <w:autoSpaceDE w:val="0"/>
        <w:autoSpaceDN w:val="0"/>
        <w:adjustRightInd w:val="0"/>
        <w:ind w:left="720"/>
        <w:rPr>
          <w:rFonts w:cs="Times New Roman"/>
        </w:rPr>
      </w:pPr>
      <w:r>
        <w:rPr>
          <w:rFonts w:cs="Times New Roman"/>
          <w:b/>
          <w:bCs/>
          <w:i/>
          <w:iCs/>
        </w:rPr>
        <w:t>Net Invested in Capital Assets</w:t>
      </w:r>
      <w:r w:rsidR="00F7095E" w:rsidRPr="00F7213E">
        <w:rPr>
          <w:rFonts w:cs="Times New Roman"/>
          <w:b/>
          <w:bCs/>
          <w:i/>
          <w:iCs/>
        </w:rPr>
        <w:t xml:space="preserve"> – </w:t>
      </w:r>
      <w:r w:rsidR="00F7095E" w:rsidRPr="00F7213E">
        <w:rPr>
          <w:rFonts w:cs="Times New Roman"/>
        </w:rPr>
        <w:t>The College’s total investment in property, plant,</w:t>
      </w:r>
      <w:r w:rsidR="00F7095E">
        <w:rPr>
          <w:rFonts w:cs="Times New Roman"/>
        </w:rPr>
        <w:t xml:space="preserve"> </w:t>
      </w:r>
      <w:r w:rsidR="00F7095E" w:rsidRPr="00F7213E">
        <w:rPr>
          <w:rFonts w:cs="Times New Roman"/>
        </w:rPr>
        <w:t>equipment, and infrastructure net of accumulated depreciation and outstanding debt obligations related to</w:t>
      </w:r>
      <w:r w:rsidR="00F7095E">
        <w:rPr>
          <w:rFonts w:cs="Times New Roman"/>
        </w:rPr>
        <w:t xml:space="preserve"> </w:t>
      </w:r>
      <w:r w:rsidR="00F7095E" w:rsidRPr="00F7213E">
        <w:rPr>
          <w:rFonts w:cs="Times New Roman"/>
        </w:rPr>
        <w:t>those capital assets</w:t>
      </w:r>
      <w:r w:rsidR="00F7095E" w:rsidRPr="00E6307A">
        <w:rPr>
          <w:rFonts w:cs="Times New Roman"/>
        </w:rPr>
        <w:t>.  Changes in these balances are discussed above.</w:t>
      </w:r>
    </w:p>
    <w:p w:rsidR="00F7095E" w:rsidRDefault="00F7095E" w:rsidP="00F7095E">
      <w:pPr>
        <w:autoSpaceDE w:val="0"/>
        <w:autoSpaceDN w:val="0"/>
        <w:adjustRightInd w:val="0"/>
        <w:rPr>
          <w:rFonts w:cs="Times New Roman"/>
          <w:b/>
          <w:bCs/>
          <w:i/>
          <w:iCs/>
        </w:rPr>
      </w:pPr>
    </w:p>
    <w:p w:rsidR="00F7095E" w:rsidRDefault="00F7095E" w:rsidP="00F7095E">
      <w:pPr>
        <w:autoSpaceDE w:val="0"/>
        <w:autoSpaceDN w:val="0"/>
        <w:adjustRightInd w:val="0"/>
        <w:ind w:firstLine="720"/>
        <w:rPr>
          <w:rFonts w:cs="Times New Roman"/>
          <w:b/>
          <w:bCs/>
          <w:i/>
          <w:iCs/>
        </w:rPr>
      </w:pPr>
      <w:r w:rsidRPr="00F7213E">
        <w:rPr>
          <w:rFonts w:cs="Times New Roman"/>
          <w:b/>
          <w:bCs/>
          <w:i/>
          <w:iCs/>
        </w:rPr>
        <w:t>Restricted:</w:t>
      </w:r>
      <w:r>
        <w:rPr>
          <w:rFonts w:cs="Times New Roman"/>
          <w:b/>
          <w:bCs/>
          <w:i/>
          <w:iCs/>
        </w:rPr>
        <w:t xml:space="preserve"> </w:t>
      </w:r>
    </w:p>
    <w:p w:rsidR="00F7095E" w:rsidRDefault="00F7095E" w:rsidP="00F7095E">
      <w:pPr>
        <w:autoSpaceDE w:val="0"/>
        <w:autoSpaceDN w:val="0"/>
        <w:adjustRightInd w:val="0"/>
        <w:ind w:left="1440"/>
        <w:rPr>
          <w:rFonts w:cs="Times New Roman"/>
          <w:b/>
          <w:bCs/>
          <w:i/>
          <w:iCs/>
        </w:rPr>
      </w:pPr>
    </w:p>
    <w:p w:rsidR="00F7095E" w:rsidRPr="00E6307A" w:rsidRDefault="00F7095E" w:rsidP="00F7095E">
      <w:pPr>
        <w:autoSpaceDE w:val="0"/>
        <w:autoSpaceDN w:val="0"/>
        <w:adjustRightInd w:val="0"/>
        <w:ind w:left="1440"/>
        <w:rPr>
          <w:rFonts w:cs="Times New Roman"/>
        </w:rPr>
      </w:pPr>
      <w:r w:rsidRPr="00F7213E">
        <w:rPr>
          <w:rFonts w:cs="Times New Roman"/>
          <w:b/>
          <w:bCs/>
          <w:i/>
          <w:iCs/>
        </w:rPr>
        <w:t xml:space="preserve">Expendable – </w:t>
      </w:r>
      <w:r>
        <w:rPr>
          <w:rFonts w:cs="Times New Roman"/>
        </w:rPr>
        <w:t xml:space="preserve">resources </w:t>
      </w:r>
      <w:r w:rsidRPr="00F7213E">
        <w:rPr>
          <w:rFonts w:cs="Times New Roman"/>
        </w:rPr>
        <w:t>the College is legally or contractually obligated to</w:t>
      </w:r>
      <w:r>
        <w:rPr>
          <w:rFonts w:cs="Times New Roman"/>
        </w:rPr>
        <w:t xml:space="preserve"> </w:t>
      </w:r>
      <w:r w:rsidRPr="00F7213E">
        <w:rPr>
          <w:rFonts w:cs="Times New Roman"/>
        </w:rPr>
        <w:t xml:space="preserve">spend in accordance with restrictions placed by donor and/or external parties </w:t>
      </w:r>
      <w:r>
        <w:rPr>
          <w:rFonts w:cs="Times New Roman"/>
        </w:rPr>
        <w:t>who</w:t>
      </w:r>
      <w:r w:rsidRPr="00F7213E">
        <w:rPr>
          <w:rFonts w:cs="Times New Roman"/>
        </w:rPr>
        <w:t xml:space="preserve"> have</w:t>
      </w:r>
      <w:r>
        <w:rPr>
          <w:rFonts w:cs="Times New Roman"/>
        </w:rPr>
        <w:t xml:space="preserve"> </w:t>
      </w:r>
      <w:r w:rsidRPr="00F7213E">
        <w:rPr>
          <w:rFonts w:cs="Times New Roman"/>
        </w:rPr>
        <w:t xml:space="preserve">placed time or purpose restrictions on the use of the asset. </w:t>
      </w:r>
      <w:r>
        <w:rPr>
          <w:rFonts w:cs="Times New Roman"/>
        </w:rPr>
        <w:t xml:space="preserve"> </w:t>
      </w:r>
      <w:r w:rsidRPr="00F7213E">
        <w:rPr>
          <w:rFonts w:cs="Times New Roman"/>
        </w:rPr>
        <w:t>The primary expendable</w:t>
      </w:r>
      <w:r>
        <w:rPr>
          <w:rFonts w:cs="Times New Roman"/>
        </w:rPr>
        <w:t xml:space="preserve"> </w:t>
      </w:r>
      <w:r w:rsidRPr="00F7213E">
        <w:rPr>
          <w:rFonts w:cs="Times New Roman"/>
        </w:rPr>
        <w:t>funds f</w:t>
      </w:r>
      <w:r w:rsidR="00313CC5">
        <w:rPr>
          <w:rFonts w:cs="Times New Roman"/>
        </w:rPr>
        <w:t>or the College are institutional financial aid funds and student loans</w:t>
      </w:r>
      <w:r>
        <w:rPr>
          <w:rFonts w:cs="Times New Roman"/>
        </w:rPr>
        <w:t xml:space="preserve">. </w:t>
      </w:r>
      <w:r w:rsidRPr="005925E4">
        <w:rPr>
          <w:rFonts w:cs="Times New Roman"/>
        </w:rPr>
        <w:t>Changes in student loan balances are discussed above</w:t>
      </w:r>
      <w:r w:rsidR="00313CC5">
        <w:rPr>
          <w:sz w:val="16"/>
          <w:szCs w:val="16"/>
          <w:highlight w:val="lightGray"/>
        </w:rPr>
        <w:t>.</w:t>
      </w:r>
    </w:p>
    <w:p w:rsidR="00F7095E" w:rsidRPr="00F7213E" w:rsidRDefault="00F7095E" w:rsidP="00F7095E">
      <w:pPr>
        <w:autoSpaceDE w:val="0"/>
        <w:autoSpaceDN w:val="0"/>
        <w:adjustRightInd w:val="0"/>
        <w:rPr>
          <w:rFonts w:cs="Times New Roman"/>
        </w:rPr>
      </w:pPr>
    </w:p>
    <w:p w:rsidR="00F7095E" w:rsidRPr="00327A06" w:rsidRDefault="00F7095E" w:rsidP="00F7095E">
      <w:pPr>
        <w:autoSpaceDE w:val="0"/>
        <w:autoSpaceDN w:val="0"/>
        <w:adjustRightInd w:val="0"/>
        <w:ind w:left="720"/>
        <w:rPr>
          <w:rFonts w:cs="Times New Roman"/>
        </w:rPr>
      </w:pPr>
      <w:r w:rsidRPr="00F7213E">
        <w:rPr>
          <w:rFonts w:cs="Times New Roman"/>
          <w:b/>
          <w:bCs/>
          <w:i/>
          <w:iCs/>
        </w:rPr>
        <w:t>Unrestricted</w:t>
      </w:r>
      <w:r>
        <w:rPr>
          <w:rFonts w:cs="Times New Roman"/>
          <w:b/>
          <w:bCs/>
          <w:i/>
          <w:iCs/>
        </w:rPr>
        <w:t xml:space="preserve"> </w:t>
      </w:r>
      <w:r w:rsidRPr="00F7213E">
        <w:rPr>
          <w:rFonts w:cs="Times New Roman"/>
          <w:b/>
          <w:bCs/>
          <w:i/>
          <w:iCs/>
        </w:rPr>
        <w:t xml:space="preserve">– </w:t>
      </w:r>
      <w:r>
        <w:rPr>
          <w:rFonts w:cs="Times New Roman"/>
        </w:rPr>
        <w:t>Includes</w:t>
      </w:r>
      <w:r w:rsidRPr="00F7213E">
        <w:rPr>
          <w:rFonts w:cs="Times New Roman"/>
        </w:rPr>
        <w:t xml:space="preserve"> all other </w:t>
      </w:r>
      <w:r>
        <w:rPr>
          <w:rFonts w:cs="Times New Roman"/>
        </w:rPr>
        <w:t>assets</w:t>
      </w:r>
      <w:r w:rsidRPr="00F7213E">
        <w:rPr>
          <w:rFonts w:cs="Times New Roman"/>
        </w:rPr>
        <w:t xml:space="preserve"> </w:t>
      </w:r>
      <w:r>
        <w:rPr>
          <w:rFonts w:cs="Times New Roman"/>
        </w:rPr>
        <w:t xml:space="preserve">not subject to externally imposed restrictions, but which may be designated or obligated for specific purposes by the Board of Trustees or </w:t>
      </w:r>
      <w:r w:rsidRPr="00E0622C">
        <w:rPr>
          <w:rFonts w:cs="Times New Roman"/>
        </w:rPr>
        <w:t>management.  Prudent balances are maintained for use as working capital, as a reserve against emergencies and for other purposes, in accordance with policies established by the Board of Trustees.</w:t>
      </w:r>
    </w:p>
    <w:p w:rsidR="00F7095E" w:rsidRDefault="00F7095E" w:rsidP="00F7095E">
      <w:pPr>
        <w:autoSpaceDE w:val="0"/>
        <w:autoSpaceDN w:val="0"/>
        <w:adjustRightInd w:val="0"/>
        <w:rPr>
          <w:rFonts w:eastAsiaTheme="majorEastAsia" w:cs="Times New Roman"/>
          <w:b/>
          <w:bCs/>
          <w:color w:val="4F81BD" w:themeColor="accent1"/>
        </w:rPr>
      </w:pPr>
    </w:p>
    <w:bookmarkStart w:id="4" w:name="_MON_1454053928"/>
    <w:bookmarkEnd w:id="4"/>
    <w:p w:rsidR="00F7095E" w:rsidRPr="004C53B9" w:rsidRDefault="00313CC5" w:rsidP="00F7095E">
      <w:pPr>
        <w:autoSpaceDE w:val="0"/>
        <w:autoSpaceDN w:val="0"/>
        <w:adjustRightInd w:val="0"/>
        <w:rPr>
          <w:rFonts w:eastAsiaTheme="majorEastAsia" w:cs="Times New Roman"/>
          <w:b/>
          <w:bCs/>
          <w:color w:val="4F81BD" w:themeColor="accent1"/>
        </w:rPr>
      </w:pPr>
      <w:r>
        <w:rPr>
          <w:rFonts w:eastAsiaTheme="majorEastAsia" w:cs="Times New Roman"/>
          <w:b/>
          <w:bCs/>
          <w:color w:val="4F81BD" w:themeColor="accent1"/>
        </w:rPr>
        <w:object w:dxaOrig="9427" w:dyaOrig="2197">
          <v:shape id="_x0000_i1028" type="#_x0000_t75" style="width:471pt;height:114pt" o:ole="">
            <v:imagedata r:id="rId16" o:title=""/>
          </v:shape>
          <o:OLEObject Type="Embed" ProgID="Excel.Sheet.12" ShapeID="_x0000_i1028" DrawAspect="Content" ObjectID="_1494923878" r:id="rId17"/>
        </w:object>
      </w:r>
    </w:p>
    <w:p w:rsidR="00F7095E" w:rsidRDefault="00F7095E" w:rsidP="00F7095E">
      <w:pPr>
        <w:autoSpaceDE w:val="0"/>
        <w:autoSpaceDN w:val="0"/>
        <w:adjustRightInd w:val="0"/>
        <w:rPr>
          <w:rFonts w:cs="Times New Roman"/>
          <w:b/>
          <w:iCs/>
        </w:rPr>
      </w:pPr>
    </w:p>
    <w:p w:rsidR="00F7095E" w:rsidRPr="009211A5" w:rsidRDefault="00F7095E" w:rsidP="00F7095E">
      <w:pPr>
        <w:autoSpaceDE w:val="0"/>
        <w:autoSpaceDN w:val="0"/>
        <w:adjustRightInd w:val="0"/>
        <w:rPr>
          <w:rFonts w:cs="Times New Roman"/>
          <w:b/>
          <w:iCs/>
          <w:color w:val="262626" w:themeColor="text1" w:themeTint="D9"/>
        </w:rPr>
      </w:pPr>
      <w:r w:rsidRPr="009211A5">
        <w:rPr>
          <w:rFonts w:cs="Times New Roman"/>
          <w:b/>
          <w:iCs/>
          <w:color w:val="262626" w:themeColor="text1" w:themeTint="D9"/>
        </w:rPr>
        <w:t>Statement</w:t>
      </w:r>
      <w:r w:rsidR="009211A5">
        <w:rPr>
          <w:rFonts w:cs="Times New Roman"/>
          <w:b/>
          <w:iCs/>
          <w:color w:val="262626" w:themeColor="text1" w:themeTint="D9"/>
        </w:rPr>
        <w:t>s</w:t>
      </w:r>
      <w:r w:rsidRPr="009211A5">
        <w:rPr>
          <w:rFonts w:cs="Times New Roman"/>
          <w:b/>
          <w:iCs/>
          <w:color w:val="262626" w:themeColor="text1" w:themeTint="D9"/>
        </w:rPr>
        <w:t xml:space="preserve"> of Revenues, Expenses and Changes in Net Position</w:t>
      </w:r>
    </w:p>
    <w:p w:rsidR="00F7095E" w:rsidRDefault="00F7095E" w:rsidP="00F7095E">
      <w:pPr>
        <w:autoSpaceDE w:val="0"/>
        <w:autoSpaceDN w:val="0"/>
        <w:adjustRightInd w:val="0"/>
        <w:rPr>
          <w:rFonts w:cs="Times New Roman"/>
        </w:rPr>
      </w:pPr>
      <w:r w:rsidRPr="001D513B">
        <w:rPr>
          <w:rFonts w:cs="Times New Roman"/>
        </w:rPr>
        <w:t xml:space="preserve">The Statement of Revenues, Expenses and Changes in Net </w:t>
      </w:r>
      <w:r>
        <w:rPr>
          <w:rFonts w:cs="Times New Roman"/>
        </w:rPr>
        <w:t>Position</w:t>
      </w:r>
      <w:r w:rsidRPr="001D513B">
        <w:rPr>
          <w:rFonts w:cs="Times New Roman"/>
        </w:rPr>
        <w:t xml:space="preserve"> </w:t>
      </w:r>
      <w:r>
        <w:rPr>
          <w:rFonts w:cs="Times New Roman"/>
        </w:rPr>
        <w:t xml:space="preserve">accounts for the College’s </w:t>
      </w:r>
      <w:r w:rsidRPr="001D513B">
        <w:rPr>
          <w:rFonts w:cs="Times New Roman"/>
        </w:rPr>
        <w:t xml:space="preserve">changes </w:t>
      </w:r>
      <w:r>
        <w:rPr>
          <w:rFonts w:cs="Times New Roman"/>
        </w:rPr>
        <w:t>in</w:t>
      </w:r>
      <w:r w:rsidRPr="001D513B">
        <w:rPr>
          <w:rFonts w:cs="Times New Roman"/>
        </w:rPr>
        <w:t xml:space="preserve"> total net</w:t>
      </w:r>
      <w:r>
        <w:rPr>
          <w:rFonts w:cs="Times New Roman"/>
        </w:rPr>
        <w:t xml:space="preserve"> position</w:t>
      </w:r>
      <w:r w:rsidRPr="001D513B">
        <w:rPr>
          <w:rFonts w:cs="Times New Roman"/>
        </w:rPr>
        <w:t xml:space="preserve"> </w:t>
      </w:r>
      <w:r>
        <w:rPr>
          <w:rFonts w:cs="Times New Roman"/>
        </w:rPr>
        <w:t>during FY 2014</w:t>
      </w:r>
      <w:r w:rsidRPr="001D513B">
        <w:rPr>
          <w:rFonts w:cs="Times New Roman"/>
        </w:rPr>
        <w:t xml:space="preserve">. </w:t>
      </w:r>
      <w:r>
        <w:rPr>
          <w:rFonts w:cs="Times New Roman"/>
        </w:rPr>
        <w:t xml:space="preserve"> </w:t>
      </w:r>
      <w:r w:rsidRPr="001D513B">
        <w:rPr>
          <w:rFonts w:cs="Times New Roman"/>
        </w:rPr>
        <w:t>The objective of the statement</w:t>
      </w:r>
      <w:r>
        <w:rPr>
          <w:rFonts w:cs="Times New Roman"/>
        </w:rPr>
        <w:t xml:space="preserve"> is</w:t>
      </w:r>
      <w:r w:rsidRPr="001D513B">
        <w:rPr>
          <w:rFonts w:cs="Times New Roman"/>
        </w:rPr>
        <w:t xml:space="preserve"> to present the revenues received, both operating and</w:t>
      </w:r>
      <w:r>
        <w:rPr>
          <w:rFonts w:cs="Times New Roman"/>
        </w:rPr>
        <w:t xml:space="preserve"> </w:t>
      </w:r>
      <w:r w:rsidRPr="001D513B">
        <w:rPr>
          <w:rFonts w:cs="Times New Roman"/>
        </w:rPr>
        <w:t>non-operating, and the expenses paid by the College, along with any other revenue, expenses, gains and losses</w:t>
      </w:r>
      <w:r>
        <w:rPr>
          <w:rFonts w:cs="Times New Roman"/>
        </w:rPr>
        <w:t xml:space="preserve"> </w:t>
      </w:r>
      <w:r w:rsidRPr="001D513B">
        <w:rPr>
          <w:rFonts w:cs="Times New Roman"/>
        </w:rPr>
        <w:t xml:space="preserve">of the College. </w:t>
      </w:r>
      <w:r>
        <w:rPr>
          <w:rFonts w:cs="Times New Roman"/>
        </w:rPr>
        <w:t xml:space="preserve"> </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sidRPr="001D513B">
        <w:rPr>
          <w:rFonts w:cs="Times New Roman"/>
        </w:rPr>
        <w:t>Generally, operating revenues are earned by the College in exchange for providing</w:t>
      </w:r>
      <w:r>
        <w:rPr>
          <w:rFonts w:cs="Times New Roman"/>
        </w:rPr>
        <w:t xml:space="preserve"> </w:t>
      </w:r>
      <w:r w:rsidRPr="001D513B">
        <w:rPr>
          <w:rFonts w:cs="Times New Roman"/>
        </w:rPr>
        <w:t xml:space="preserve">goods and services. </w:t>
      </w:r>
      <w:r>
        <w:rPr>
          <w:rFonts w:cs="Times New Roman"/>
        </w:rPr>
        <w:t xml:space="preserve"> Tuition and grants and contracts are included in this category.  In contrast, non-operating revenues include monies </w:t>
      </w:r>
      <w:r w:rsidRPr="00633916">
        <w:rPr>
          <w:rFonts w:cs="Times New Roman"/>
        </w:rPr>
        <w:t xml:space="preserve">the college </w:t>
      </w:r>
      <w:r>
        <w:rPr>
          <w:rFonts w:cs="Times New Roman"/>
        </w:rPr>
        <w:t xml:space="preserve">receives from another government </w:t>
      </w:r>
      <w:r w:rsidRPr="00633916">
        <w:rPr>
          <w:rFonts w:cs="Times New Roman"/>
        </w:rPr>
        <w:t>without directly giving equal value</w:t>
      </w:r>
      <w:r>
        <w:rPr>
          <w:rFonts w:cs="Times New Roman"/>
        </w:rPr>
        <w:t xml:space="preserve"> to that government </w:t>
      </w:r>
      <w:r w:rsidRPr="00633916">
        <w:rPr>
          <w:rFonts w:cs="Times New Roman"/>
        </w:rPr>
        <w:t xml:space="preserve">in return.  </w:t>
      </w:r>
      <w:r>
        <w:rPr>
          <w:rFonts w:cs="Times New Roman"/>
        </w:rPr>
        <w:t>Accounting standards require that the College categorize state operating appropriations and Pell Grants as non-operating revenues.</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sidRPr="00633916">
        <w:rPr>
          <w:rFonts w:cs="Times New Roman"/>
        </w:rPr>
        <w:t xml:space="preserve">Operating expenses are expenses incurred in the normal operation of the College, including depreciation </w:t>
      </w:r>
      <w:r w:rsidRPr="001D513B">
        <w:rPr>
          <w:rFonts w:cs="Times New Roman"/>
        </w:rPr>
        <w:t>on property and equipment assets.</w:t>
      </w:r>
      <w:r>
        <w:rPr>
          <w:rFonts w:cs="Times New Roman"/>
        </w:rPr>
        <w:t xml:space="preserve">  When operating revenues, excluding state appropriations and Pell Grants, are measured against operating expenses, the College shows an </w:t>
      </w:r>
      <w:r w:rsidRPr="001D513B">
        <w:rPr>
          <w:rFonts w:cs="Times New Roman"/>
        </w:rPr>
        <w:t>operating loss</w:t>
      </w:r>
      <w:r>
        <w:rPr>
          <w:rFonts w:cs="Times New Roman"/>
        </w:rPr>
        <w:t xml:space="preserve">.  The operating </w:t>
      </w:r>
      <w:r>
        <w:rPr>
          <w:rFonts w:cs="Times New Roman"/>
        </w:rPr>
        <w:lastRenderedPageBreak/>
        <w:t>loss is reflective of the external funding necessary to keep tuition lower than the cost of the services provided.</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A condensed statement of revenues, expense and changes in net position is presented below.  A single year is presented as part of this inaugural set of financial statements.  Future years will include comparative information.</w:t>
      </w:r>
    </w:p>
    <w:p w:rsidR="00F7095E" w:rsidRDefault="00F7095E" w:rsidP="00F7095E">
      <w:pPr>
        <w:autoSpaceDE w:val="0"/>
        <w:autoSpaceDN w:val="0"/>
        <w:adjustRightInd w:val="0"/>
        <w:rPr>
          <w:rFonts w:cs="Times New Roman"/>
        </w:rPr>
      </w:pPr>
    </w:p>
    <w:bookmarkStart w:id="5" w:name="_MON_1454065753"/>
    <w:bookmarkEnd w:id="5"/>
    <w:p w:rsidR="00F7095E" w:rsidRDefault="009E3700" w:rsidP="00F7095E">
      <w:pPr>
        <w:autoSpaceDE w:val="0"/>
        <w:autoSpaceDN w:val="0"/>
        <w:adjustRightInd w:val="0"/>
        <w:rPr>
          <w:rFonts w:cs="Times New Roman"/>
        </w:rPr>
      </w:pPr>
      <w:r>
        <w:rPr>
          <w:rFonts w:cs="Times New Roman"/>
        </w:rPr>
        <w:object w:dxaOrig="6903" w:dyaOrig="7438">
          <v:shape id="_x0000_i1029" type="#_x0000_t75" style="width:345pt;height:372.6pt" o:ole="">
            <v:imagedata r:id="rId18" o:title=""/>
          </v:shape>
          <o:OLEObject Type="Embed" ProgID="Excel.Sheet.12" ShapeID="_x0000_i1029" DrawAspect="Content" ObjectID="_1494923879" r:id="rId19"/>
        </w:object>
      </w:r>
    </w:p>
    <w:p w:rsidR="00F7095E" w:rsidRDefault="00F7095E" w:rsidP="00F7095E">
      <w:pPr>
        <w:autoSpaceDE w:val="0"/>
        <w:autoSpaceDN w:val="0"/>
        <w:adjustRightInd w:val="0"/>
        <w:rPr>
          <w:rFonts w:cs="Times New Roman"/>
          <w:u w:val="single"/>
        </w:rPr>
      </w:pPr>
    </w:p>
    <w:p w:rsidR="00F7095E" w:rsidRPr="000B3056" w:rsidRDefault="00F7095E" w:rsidP="00F7095E">
      <w:pPr>
        <w:autoSpaceDE w:val="0"/>
        <w:autoSpaceDN w:val="0"/>
        <w:adjustRightInd w:val="0"/>
        <w:rPr>
          <w:rFonts w:cs="Times New Roman"/>
        </w:rPr>
      </w:pPr>
      <w:r w:rsidRPr="004E4586">
        <w:rPr>
          <w:rFonts w:cs="Times New Roman"/>
          <w:u w:val="single"/>
        </w:rPr>
        <w:t>Revenues</w:t>
      </w:r>
    </w:p>
    <w:p w:rsidR="00F7095E" w:rsidRDefault="00F7095E" w:rsidP="00F7095E">
      <w:pPr>
        <w:autoSpaceDE w:val="0"/>
        <w:autoSpaceDN w:val="0"/>
        <w:adjustRightInd w:val="0"/>
        <w:rPr>
          <w:rFonts w:cs="Times New Roman"/>
        </w:rPr>
      </w:pPr>
      <w:r w:rsidRPr="00291219">
        <w:rPr>
          <w:rFonts w:cs="Times New Roman"/>
        </w:rPr>
        <w:t xml:space="preserve">Continuing a trend that began midway through fiscal year 2009, the College’s state operating appropriations decreased </w:t>
      </w:r>
      <w:r>
        <w:rPr>
          <w:rFonts w:cs="Times New Roman"/>
        </w:rPr>
        <w:t xml:space="preserve">multiple times up through </w:t>
      </w:r>
      <w:r w:rsidRPr="00291219">
        <w:rPr>
          <w:rFonts w:cs="Times New Roman"/>
        </w:rPr>
        <w:t>FY 2013</w:t>
      </w:r>
      <w:r w:rsidRPr="001833B3">
        <w:rPr>
          <w:rFonts w:cs="Times New Roman"/>
        </w:rPr>
        <w:t xml:space="preserve">.  </w:t>
      </w:r>
      <w:r>
        <w:rPr>
          <w:rFonts w:cs="Times New Roman"/>
        </w:rPr>
        <w:t xml:space="preserve">The state of Washington appropriates funds to the community college system as a whole.  The State Board for Community and Technical Colleges (SBCTC) then allocates monies to each college.  System-level appropriations hit their height in FY 2009 and as of FY 2013 had been reduced by almost 24%.  In FY 2014, the Legislature reinstate a small portion of the previous cuts. </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Over this same period, the Legislature and SBCTC instituted increases in tuition rates to partially offset the reduction in state appropriations.  Since enrollments decreased in FY 2014, the College’s decrease in tuition and fees is primarily attributable to the decrease in enrollments.  Pell grant revenues generally follow enrollment trends.  As the College’s enrollment softened during FY 2014, so did the College’s Pell Grant revenue.</w:t>
      </w:r>
      <w:r w:rsidRPr="00D42DBD">
        <w:rPr>
          <w:rFonts w:cs="Times New Roman"/>
        </w:rPr>
        <w:t xml:space="preserve"> </w:t>
      </w:r>
      <w:r>
        <w:rPr>
          <w:rFonts w:cs="Times New Roman"/>
        </w:rPr>
        <w:t xml:space="preserve"> </w:t>
      </w:r>
      <w:r w:rsidRPr="00DA6C00">
        <w:rPr>
          <w:rFonts w:cs="Times New Roman"/>
        </w:rPr>
        <w:t>For FY2014, the</w:t>
      </w:r>
      <w:r>
        <w:rPr>
          <w:rFonts w:cs="Times New Roman"/>
        </w:rPr>
        <w:t xml:space="preserve"> College attempted to keep </w:t>
      </w:r>
      <w:r w:rsidRPr="00DA6C00">
        <w:rPr>
          <w:rFonts w:cs="Times New Roman"/>
        </w:rPr>
        <w:t xml:space="preserve">other fees as stable as possible, </w:t>
      </w:r>
      <w:r w:rsidRPr="00DA6C00">
        <w:rPr>
          <w:rFonts w:cs="Times New Roman"/>
        </w:rPr>
        <w:lastRenderedPageBreak/>
        <w:t>resulting in only small changes in these revenues.</w:t>
      </w:r>
      <w:r w:rsidRPr="001A6E18">
        <w:rPr>
          <w:rFonts w:cs="Times New Roman"/>
          <w:i/>
        </w:rPr>
        <w:t xml:space="preserve"> </w:t>
      </w:r>
      <w:r>
        <w:rPr>
          <w:rFonts w:cs="Times New Roman"/>
        </w:rPr>
        <w:t>In addition, t</w:t>
      </w:r>
      <w:r w:rsidRPr="003331F5">
        <w:rPr>
          <w:rFonts w:cs="Times New Roman"/>
        </w:rPr>
        <w:t xml:space="preserve">he College </w:t>
      </w:r>
      <w:r>
        <w:rPr>
          <w:rFonts w:cs="Times New Roman"/>
        </w:rPr>
        <w:t xml:space="preserve">serves some students and offers some programs on a fee-only basis, as allowed by law.  </w:t>
      </w:r>
    </w:p>
    <w:p w:rsidR="00F7095E" w:rsidRDefault="00F7095E" w:rsidP="00F7095E">
      <w:pPr>
        <w:autoSpaceDE w:val="0"/>
        <w:autoSpaceDN w:val="0"/>
        <w:adjustRightInd w:val="0"/>
        <w:rPr>
          <w:rFonts w:cs="Times New Roman"/>
        </w:rPr>
      </w:pPr>
    </w:p>
    <w:p w:rsidR="00F7095E" w:rsidRPr="00A621FA" w:rsidRDefault="00F7095E" w:rsidP="00F7095E">
      <w:pPr>
        <w:autoSpaceDE w:val="0"/>
        <w:autoSpaceDN w:val="0"/>
        <w:adjustRightInd w:val="0"/>
        <w:rPr>
          <w:rFonts w:cs="Times New Roman"/>
        </w:rPr>
      </w:pPr>
      <w:r w:rsidRPr="00C9527A">
        <w:rPr>
          <w:rFonts w:cs="Times New Roman"/>
        </w:rPr>
        <w:t>In FY 201</w:t>
      </w:r>
      <w:r>
        <w:rPr>
          <w:rFonts w:cs="Times New Roman"/>
        </w:rPr>
        <w:t>4</w:t>
      </w:r>
      <w:r w:rsidRPr="00C9527A">
        <w:rPr>
          <w:rFonts w:cs="Times New Roman"/>
        </w:rPr>
        <w:t>, grant</w:t>
      </w:r>
      <w:r>
        <w:rPr>
          <w:rFonts w:cs="Times New Roman"/>
        </w:rPr>
        <w:t xml:space="preserve"> and contract</w:t>
      </w:r>
      <w:r w:rsidRPr="00C9527A">
        <w:rPr>
          <w:rFonts w:cs="Times New Roman"/>
        </w:rPr>
        <w:t xml:space="preserve"> revenues increased</w:t>
      </w:r>
      <w:r>
        <w:rPr>
          <w:rFonts w:cs="Times New Roman"/>
        </w:rPr>
        <w:t xml:space="preserve"> by $1,674,801 when compared with FY 2013.  T</w:t>
      </w:r>
      <w:r w:rsidRPr="003331F5">
        <w:rPr>
          <w:rFonts w:cs="Times New Roman"/>
        </w:rPr>
        <w:t>he College continued to serve students under the terms of contract</w:t>
      </w:r>
      <w:r>
        <w:rPr>
          <w:rFonts w:cs="Times New Roman"/>
        </w:rPr>
        <w:t>ed</w:t>
      </w:r>
      <w:r w:rsidRPr="003331F5">
        <w:rPr>
          <w:rFonts w:cs="Times New Roman"/>
        </w:rPr>
        <w:t xml:space="preserve"> programs.  The College contracts with local high schools to enroll Running Start students who earn both high school and college credit for these courses.  The College also </w:t>
      </w:r>
      <w:r>
        <w:rPr>
          <w:rFonts w:cs="Times New Roman"/>
        </w:rPr>
        <w:t>serves</w:t>
      </w:r>
      <w:r w:rsidRPr="003331F5">
        <w:rPr>
          <w:rFonts w:cs="Times New Roman"/>
        </w:rPr>
        <w:t xml:space="preserve"> </w:t>
      </w:r>
      <w:r>
        <w:rPr>
          <w:rFonts w:cs="Times New Roman"/>
        </w:rPr>
        <w:t>contracted i</w:t>
      </w:r>
      <w:r w:rsidRPr="003331F5">
        <w:rPr>
          <w:rFonts w:cs="Times New Roman"/>
        </w:rPr>
        <w:t xml:space="preserve">nternational </w:t>
      </w:r>
      <w:r>
        <w:rPr>
          <w:rFonts w:cs="Times New Roman"/>
        </w:rPr>
        <w:t>and Joint Base Lewis-</w:t>
      </w:r>
      <w:proofErr w:type="spellStart"/>
      <w:r>
        <w:rPr>
          <w:rFonts w:cs="Times New Roman"/>
        </w:rPr>
        <w:t>McChord</w:t>
      </w:r>
      <w:proofErr w:type="spellEnd"/>
      <w:r>
        <w:rPr>
          <w:rFonts w:cs="Times New Roman"/>
        </w:rPr>
        <w:t xml:space="preserve"> </w:t>
      </w:r>
      <w:r w:rsidRPr="003331F5">
        <w:rPr>
          <w:rFonts w:cs="Times New Roman"/>
        </w:rPr>
        <w:t>students</w:t>
      </w:r>
      <w:r>
        <w:rPr>
          <w:rFonts w:cs="Times New Roman"/>
        </w:rPr>
        <w:t xml:space="preserve"> who are not supported by state dollars. </w:t>
      </w:r>
      <w:r w:rsidRPr="00A621FA">
        <w:rPr>
          <w:rFonts w:cs="Times New Roman"/>
        </w:rPr>
        <w:t>The College was also a recipient of a Department of Education – Fund for the Improvement of Postsecondary Education grant CFDA No. 84.116.</w:t>
      </w:r>
    </w:p>
    <w:p w:rsidR="00F7095E" w:rsidRDefault="00F7095E" w:rsidP="00F7095E">
      <w:pPr>
        <w:autoSpaceDE w:val="0"/>
        <w:autoSpaceDN w:val="0"/>
        <w:adjustRightInd w:val="0"/>
        <w:rPr>
          <w:rFonts w:cs="Times New Roman"/>
          <w:i/>
        </w:rPr>
      </w:pPr>
    </w:p>
    <w:p w:rsidR="00F7095E" w:rsidRDefault="00F7095E" w:rsidP="00F7095E">
      <w:pPr>
        <w:autoSpaceDE w:val="0"/>
        <w:autoSpaceDN w:val="0"/>
        <w:adjustRightInd w:val="0"/>
        <w:rPr>
          <w:rFonts w:cs="Times New Roman"/>
        </w:rPr>
      </w:pPr>
      <w:r>
        <w:rPr>
          <w:rFonts w:cs="Times New Roman"/>
        </w:rPr>
        <w:t>The College receives capital spending authority on a biennial basis and may carry unexpended amounts forward into one or two future biennia, depending on the original purpose of the funding.  In accordance with accounting standards, the amount shown as capital appropriation revenue on the financial statement is the amount expended in the current year.  Expenditures from capital project funds that do not meet accounting standards for capitalization are reported as operating expenses.  Those expenditures that meet the capitalization standard are not shown as expense in the current period and are instead recognized as depreciation expense over the expected useful lifetime of the asset.</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noProof/>
        </w:rPr>
        <w:drawing>
          <wp:inline distT="0" distB="0" distL="0" distR="0" wp14:anchorId="346B3D6A" wp14:editId="111FE55A">
            <wp:extent cx="6217920" cy="3436620"/>
            <wp:effectExtent l="0" t="0" r="11430" b="1143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095E" w:rsidRDefault="00F7095E" w:rsidP="00F7095E">
      <w:pPr>
        <w:autoSpaceDE w:val="0"/>
        <w:autoSpaceDN w:val="0"/>
        <w:adjustRightInd w:val="0"/>
        <w:rPr>
          <w:rFonts w:cs="Times New Roman"/>
        </w:rPr>
      </w:pPr>
    </w:p>
    <w:p w:rsidR="00F7095E" w:rsidRPr="00AA53CD" w:rsidRDefault="00F7095E" w:rsidP="00F7095E">
      <w:pPr>
        <w:autoSpaceDE w:val="0"/>
        <w:autoSpaceDN w:val="0"/>
        <w:adjustRightInd w:val="0"/>
        <w:rPr>
          <w:rFonts w:cs="Times New Roman"/>
          <w:iCs/>
          <w:u w:val="single"/>
        </w:rPr>
      </w:pPr>
      <w:r w:rsidRPr="00AA53CD">
        <w:rPr>
          <w:rFonts w:cs="Times New Roman"/>
          <w:iCs/>
          <w:u w:val="single"/>
        </w:rPr>
        <w:t>Expenses</w:t>
      </w:r>
    </w:p>
    <w:p w:rsidR="00F7095E" w:rsidRDefault="00F7095E" w:rsidP="00F7095E">
      <w:pPr>
        <w:autoSpaceDE w:val="0"/>
        <w:autoSpaceDN w:val="0"/>
        <w:adjustRightInd w:val="0"/>
        <w:rPr>
          <w:rFonts w:cs="Times New Roman"/>
        </w:rPr>
      </w:pPr>
      <w:r>
        <w:rPr>
          <w:rFonts w:cs="Times New Roman"/>
        </w:rPr>
        <w:t>Faced with severe budget cuts over the past five years, the College has continuously sought opportunities to identify savings and efficiencies.  Over time, the College d</w:t>
      </w:r>
      <w:r w:rsidRPr="0097644C">
        <w:rPr>
          <w:rFonts w:cs="Times New Roman"/>
        </w:rPr>
        <w:t>ecrease</w:t>
      </w:r>
      <w:r>
        <w:rPr>
          <w:rFonts w:cs="Times New Roman"/>
        </w:rPr>
        <w:t>d</w:t>
      </w:r>
      <w:r w:rsidRPr="0097644C">
        <w:rPr>
          <w:rFonts w:cs="Times New Roman"/>
        </w:rPr>
        <w:t xml:space="preserve"> spending and services</w:t>
      </w:r>
      <w:r>
        <w:rPr>
          <w:rFonts w:cs="Times New Roman"/>
        </w:rPr>
        <w:t xml:space="preserve"> and was subject to various state spending freezes and employee salary reductions.</w:t>
      </w:r>
    </w:p>
    <w:p w:rsidR="00F7095E" w:rsidRDefault="00F7095E" w:rsidP="00F7095E">
      <w:pPr>
        <w:autoSpaceDE w:val="0"/>
        <w:autoSpaceDN w:val="0"/>
        <w:adjustRightInd w:val="0"/>
        <w:rPr>
          <w:rFonts w:cs="Times New Roman"/>
        </w:rPr>
      </w:pPr>
    </w:p>
    <w:p w:rsidR="00F7095E" w:rsidRPr="00AA53CD" w:rsidRDefault="00F7095E" w:rsidP="00F7095E">
      <w:pPr>
        <w:autoSpaceDE w:val="0"/>
        <w:autoSpaceDN w:val="0"/>
        <w:adjustRightInd w:val="0"/>
        <w:rPr>
          <w:sz w:val="16"/>
          <w:szCs w:val="16"/>
        </w:rPr>
      </w:pPr>
      <w:r>
        <w:rPr>
          <w:rFonts w:cs="Times New Roman"/>
        </w:rPr>
        <w:t>More recently, i</w:t>
      </w:r>
      <w:r w:rsidRPr="004F7A71">
        <w:rPr>
          <w:rFonts w:cs="Times New Roman"/>
        </w:rPr>
        <w:t xml:space="preserve">n </w:t>
      </w:r>
      <w:r>
        <w:rPr>
          <w:rFonts w:cs="Times New Roman"/>
        </w:rPr>
        <w:t xml:space="preserve">FY </w:t>
      </w:r>
      <w:r w:rsidRPr="004F7A71">
        <w:rPr>
          <w:rFonts w:cs="Times New Roman"/>
        </w:rPr>
        <w:t>201</w:t>
      </w:r>
      <w:r>
        <w:rPr>
          <w:rFonts w:cs="Times New Roman"/>
        </w:rPr>
        <w:t>4</w:t>
      </w:r>
      <w:r w:rsidRPr="004F7A71">
        <w:rPr>
          <w:rFonts w:cs="Times New Roman"/>
        </w:rPr>
        <w:t xml:space="preserve">, </w:t>
      </w:r>
      <w:r>
        <w:rPr>
          <w:rFonts w:cs="Times New Roman"/>
        </w:rPr>
        <w:t>s</w:t>
      </w:r>
      <w:r w:rsidRPr="004F7A71">
        <w:rPr>
          <w:rFonts w:cs="Times New Roman"/>
        </w:rPr>
        <w:t>alar</w:t>
      </w:r>
      <w:r>
        <w:rPr>
          <w:rFonts w:cs="Times New Roman"/>
        </w:rPr>
        <w:t xml:space="preserve">y </w:t>
      </w:r>
      <w:r w:rsidRPr="004F7A71">
        <w:rPr>
          <w:rFonts w:cs="Times New Roman"/>
        </w:rPr>
        <w:t>and benefit</w:t>
      </w:r>
      <w:r>
        <w:rPr>
          <w:rFonts w:cs="Times New Roman"/>
        </w:rPr>
        <w:t xml:space="preserve"> costs increased as result </w:t>
      </w:r>
      <w:r w:rsidRPr="00AA53CD">
        <w:rPr>
          <w:rFonts w:cs="Times New Roman"/>
        </w:rPr>
        <w:t>of adding positions (classified, exempt, and faculty), negotiated increases for classified staff, having to compete in the job market in order to replace retiring exempt employees and/or faculty, as well as new grant and contract funded positions.</w:t>
      </w:r>
      <w:r w:rsidRPr="00AA53CD">
        <w:rPr>
          <w:sz w:val="16"/>
          <w:szCs w:val="16"/>
        </w:rPr>
        <w:t xml:space="preserve"> </w:t>
      </w:r>
    </w:p>
    <w:p w:rsidR="00F7095E" w:rsidRDefault="00F7095E" w:rsidP="00F7095E">
      <w:pPr>
        <w:autoSpaceDE w:val="0"/>
        <w:autoSpaceDN w:val="0"/>
        <w:adjustRightInd w:val="0"/>
        <w:rPr>
          <w:sz w:val="16"/>
          <w:szCs w:val="16"/>
        </w:rPr>
      </w:pPr>
    </w:p>
    <w:p w:rsidR="00F7095E" w:rsidRDefault="00F7095E" w:rsidP="00F7095E">
      <w:pPr>
        <w:autoSpaceDE w:val="0"/>
        <w:autoSpaceDN w:val="0"/>
        <w:adjustRightInd w:val="0"/>
        <w:rPr>
          <w:rFonts w:cs="Times New Roman"/>
        </w:rPr>
      </w:pPr>
      <w:r w:rsidRPr="00AA53CD">
        <w:rPr>
          <w:rFonts w:cs="Times New Roman"/>
        </w:rPr>
        <w:lastRenderedPageBreak/>
        <w:t>The College has reduced utility expenses in FY 2014 as a result of targeted efforts to reduce use, in spite of rate increases from utility providers.</w:t>
      </w:r>
      <w:r>
        <w:rPr>
          <w:rFonts w:cs="Times New Roman"/>
        </w:rPr>
        <w:t xml:space="preserve">  S</w:t>
      </w:r>
      <w:r w:rsidRPr="004F7A71">
        <w:rPr>
          <w:rFonts w:cs="Times New Roman"/>
        </w:rPr>
        <w:t xml:space="preserve">upplies and </w:t>
      </w:r>
      <w:r>
        <w:rPr>
          <w:rFonts w:cs="Times New Roman"/>
        </w:rPr>
        <w:t xml:space="preserve">materials </w:t>
      </w:r>
      <w:r w:rsidRPr="004F7A71">
        <w:rPr>
          <w:rFonts w:cs="Times New Roman"/>
        </w:rPr>
        <w:t xml:space="preserve">are significantly lower in </w:t>
      </w:r>
      <w:r>
        <w:rPr>
          <w:rFonts w:cs="Times New Roman"/>
        </w:rPr>
        <w:t xml:space="preserve">FY </w:t>
      </w:r>
      <w:r w:rsidRPr="004F7A71">
        <w:rPr>
          <w:rFonts w:cs="Times New Roman"/>
        </w:rPr>
        <w:t>201</w:t>
      </w:r>
      <w:r>
        <w:rPr>
          <w:rFonts w:cs="Times New Roman"/>
        </w:rPr>
        <w:t>4</w:t>
      </w:r>
      <w:r w:rsidRPr="004F7A71">
        <w:rPr>
          <w:rFonts w:cs="Times New Roman"/>
        </w:rPr>
        <w:t xml:space="preserve">, </w:t>
      </w:r>
      <w:r>
        <w:rPr>
          <w:rFonts w:cs="Times New Roman"/>
        </w:rPr>
        <w:t xml:space="preserve">primarily as a result of contracting out the College Bookstore. In FY 2014 purchased services, as well as depreciation, increased slightly. </w:t>
      </w:r>
    </w:p>
    <w:p w:rsidR="009211A5" w:rsidRDefault="009211A5" w:rsidP="00F7095E">
      <w:pPr>
        <w:autoSpaceDE w:val="0"/>
        <w:autoSpaceDN w:val="0"/>
        <w:adjustRightInd w:val="0"/>
        <w:rPr>
          <w:rFonts w:cs="Times New Roman"/>
          <w:u w:val="single"/>
        </w:rPr>
      </w:pPr>
    </w:p>
    <w:p w:rsidR="00F7095E" w:rsidRPr="00A91CB8" w:rsidRDefault="00F7095E" w:rsidP="00F7095E">
      <w:pPr>
        <w:autoSpaceDE w:val="0"/>
        <w:autoSpaceDN w:val="0"/>
        <w:adjustRightInd w:val="0"/>
        <w:rPr>
          <w:rFonts w:cs="Times New Roman"/>
          <w:u w:val="single"/>
        </w:rPr>
      </w:pPr>
      <w:r w:rsidRPr="00A91CB8">
        <w:rPr>
          <w:rFonts w:cs="Times New Roman"/>
          <w:u w:val="single"/>
        </w:rPr>
        <w:t xml:space="preserve">Comparison of </w:t>
      </w:r>
      <w:r>
        <w:rPr>
          <w:rFonts w:cs="Times New Roman"/>
          <w:u w:val="single"/>
        </w:rPr>
        <w:t xml:space="preserve">Selected </w:t>
      </w:r>
      <w:r w:rsidRPr="00A91CB8">
        <w:rPr>
          <w:rFonts w:cs="Times New Roman"/>
          <w:u w:val="single"/>
        </w:rPr>
        <w:t>Operating Expenses by Function</w:t>
      </w:r>
    </w:p>
    <w:p w:rsidR="00F7095E" w:rsidRDefault="00F7095E" w:rsidP="00F7095E">
      <w:pPr>
        <w:autoSpaceDE w:val="0"/>
        <w:autoSpaceDN w:val="0"/>
        <w:adjustRightInd w:val="0"/>
        <w:rPr>
          <w:rFonts w:cs="Times New Roman"/>
        </w:rPr>
      </w:pPr>
      <w:r>
        <w:rPr>
          <w:rFonts w:cs="Times New Roman"/>
        </w:rPr>
        <w:t xml:space="preserve">The </w:t>
      </w:r>
      <w:r w:rsidRPr="004F7A71">
        <w:rPr>
          <w:rFonts w:cs="Times New Roman"/>
        </w:rPr>
        <w:t xml:space="preserve">chart </w:t>
      </w:r>
      <w:r>
        <w:rPr>
          <w:rFonts w:cs="Times New Roman"/>
        </w:rPr>
        <w:t>below</w:t>
      </w:r>
      <w:r w:rsidRPr="004F7A71">
        <w:rPr>
          <w:rFonts w:cs="Times New Roman"/>
        </w:rPr>
        <w:t xml:space="preserve"> shows the amount, in dollars, for </w:t>
      </w:r>
      <w:r>
        <w:rPr>
          <w:rFonts w:cs="Times New Roman"/>
        </w:rPr>
        <w:t>selected</w:t>
      </w:r>
      <w:r w:rsidRPr="004F7A71">
        <w:rPr>
          <w:rFonts w:cs="Times New Roman"/>
        </w:rPr>
        <w:t xml:space="preserve"> functional areas of operating</w:t>
      </w:r>
      <w:r>
        <w:rPr>
          <w:rFonts w:cs="Times New Roman"/>
        </w:rPr>
        <w:t xml:space="preserve"> </w:t>
      </w:r>
      <w:r w:rsidRPr="004F7A71">
        <w:rPr>
          <w:rFonts w:cs="Times New Roman"/>
        </w:rPr>
        <w:t xml:space="preserve">expenses for </w:t>
      </w:r>
      <w:r>
        <w:rPr>
          <w:rFonts w:cs="Times New Roman"/>
        </w:rPr>
        <w:t xml:space="preserve">FY 2014 and FY 2013.  </w:t>
      </w:r>
    </w:p>
    <w:p w:rsidR="00F7095E" w:rsidRPr="00A91CB8" w:rsidRDefault="00F7095E" w:rsidP="00F7095E">
      <w:pPr>
        <w:autoSpaceDE w:val="0"/>
        <w:autoSpaceDN w:val="0"/>
        <w:adjustRightInd w:val="0"/>
        <w:rPr>
          <w:sz w:val="16"/>
          <w:szCs w:val="16"/>
          <w:highlight w:val="lightGray"/>
        </w:rPr>
      </w:pPr>
    </w:p>
    <w:p w:rsidR="00F7095E" w:rsidRDefault="00553AFC" w:rsidP="00F7095E">
      <w:pPr>
        <w:autoSpaceDE w:val="0"/>
        <w:autoSpaceDN w:val="0"/>
        <w:adjustRightInd w:val="0"/>
        <w:rPr>
          <w:rFonts w:cs="Times New Roman"/>
        </w:rPr>
      </w:pPr>
      <w:r>
        <w:rPr>
          <w:rFonts w:cs="Times New Roman"/>
          <w:noProof/>
        </w:rPr>
        <w:drawing>
          <wp:inline distT="0" distB="0" distL="0" distR="0" wp14:anchorId="0FAE5902" wp14:editId="2E9954C1">
            <wp:extent cx="5730240" cy="3497580"/>
            <wp:effectExtent l="0" t="0" r="3810" b="762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7095E" w:rsidRDefault="00F7095E" w:rsidP="00F7095E">
      <w:pPr>
        <w:autoSpaceDE w:val="0"/>
        <w:autoSpaceDN w:val="0"/>
        <w:adjustRightInd w:val="0"/>
        <w:rPr>
          <w:rFonts w:cs="Times New Roman"/>
        </w:rPr>
      </w:pPr>
    </w:p>
    <w:p w:rsidR="00F7095E" w:rsidRPr="00B25369" w:rsidRDefault="00F7095E" w:rsidP="00F7095E">
      <w:pPr>
        <w:autoSpaceDE w:val="0"/>
        <w:autoSpaceDN w:val="0"/>
        <w:adjustRightInd w:val="0"/>
        <w:rPr>
          <w:rFonts w:cs="Times New Roman"/>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377418" w:rsidRDefault="00377418" w:rsidP="00F7095E">
      <w:pPr>
        <w:autoSpaceDE w:val="0"/>
        <w:autoSpaceDN w:val="0"/>
        <w:adjustRightInd w:val="0"/>
        <w:rPr>
          <w:rFonts w:cs="Times New Roman"/>
          <w:b/>
          <w:iCs/>
          <w:color w:val="262626" w:themeColor="text1" w:themeTint="D9"/>
        </w:rPr>
      </w:pPr>
    </w:p>
    <w:p w:rsidR="00F7095E" w:rsidRPr="009211A5" w:rsidRDefault="00F7095E" w:rsidP="00F7095E">
      <w:pPr>
        <w:autoSpaceDE w:val="0"/>
        <w:autoSpaceDN w:val="0"/>
        <w:adjustRightInd w:val="0"/>
        <w:rPr>
          <w:rFonts w:cs="Times New Roman"/>
          <w:b/>
          <w:iCs/>
          <w:color w:val="262626" w:themeColor="text1" w:themeTint="D9"/>
        </w:rPr>
      </w:pPr>
      <w:r w:rsidRPr="009211A5">
        <w:rPr>
          <w:rFonts w:cs="Times New Roman"/>
          <w:b/>
          <w:iCs/>
          <w:color w:val="262626" w:themeColor="text1" w:themeTint="D9"/>
        </w:rPr>
        <w:lastRenderedPageBreak/>
        <w:t>Capital Assets and Long-Term Debt Activities</w:t>
      </w:r>
    </w:p>
    <w:p w:rsidR="00F7095E" w:rsidRDefault="00F7095E" w:rsidP="00F7095E">
      <w:pPr>
        <w:autoSpaceDE w:val="0"/>
        <w:autoSpaceDN w:val="0"/>
        <w:adjustRightInd w:val="0"/>
        <w:rPr>
          <w:rFonts w:cs="Times New Roman"/>
        </w:rPr>
      </w:pPr>
      <w:r>
        <w:rPr>
          <w:rFonts w:cs="Times New Roman"/>
        </w:rPr>
        <w:t>The community and technical college system submits a single prioritized request to the Office of Financial Management and the Legislature for appropriated capital funds, which includes major projects, minor projects, repairs, emergency funds, alternative financing and major leases.  The primary funding source for college capital projects is state general obligation bonds.  In recent years, declining state revenues significantly reduced the state’s debt capacity and are expected to continue to impact the number of new projects that can be financed.</w:t>
      </w:r>
      <w:r w:rsidRPr="00A769B5">
        <w:rPr>
          <w:rFonts w:cs="Times New Roman"/>
        </w:rPr>
        <w:t xml:space="preserve"> </w:t>
      </w:r>
      <w:r>
        <w:rPr>
          <w:rFonts w:cs="Times New Roman"/>
        </w:rPr>
        <w:t xml:space="preserve"> </w:t>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rPr>
        <w:t xml:space="preserve">At June 30, 2014, the </w:t>
      </w:r>
      <w:r w:rsidRPr="00B25369">
        <w:rPr>
          <w:rFonts w:cs="Times New Roman"/>
        </w:rPr>
        <w:t xml:space="preserve">College </w:t>
      </w:r>
      <w:r>
        <w:rPr>
          <w:rFonts w:cs="Times New Roman"/>
        </w:rPr>
        <w:t xml:space="preserve">had </w:t>
      </w:r>
      <w:r w:rsidRPr="00F417EA">
        <w:rPr>
          <w:rFonts w:cs="Times New Roman"/>
        </w:rPr>
        <w:t>invested $163</w:t>
      </w:r>
      <w:r>
        <w:rPr>
          <w:rFonts w:cs="Times New Roman"/>
        </w:rPr>
        <w:t>,948,326 in capital assets, net of accumulated depreciation.  This represents a</w:t>
      </w:r>
      <w:r w:rsidRPr="00F417EA">
        <w:rPr>
          <w:rFonts w:cs="Times New Roman"/>
        </w:rPr>
        <w:t xml:space="preserve"> decrease of</w:t>
      </w:r>
      <w:r>
        <w:rPr>
          <w:rFonts w:cs="Times New Roman"/>
        </w:rPr>
        <w:t xml:space="preserve"> $1,600,173 from last year, as shown in the table below.</w:t>
      </w:r>
    </w:p>
    <w:p w:rsidR="00F7095E" w:rsidRDefault="00F7095E" w:rsidP="00F7095E">
      <w:pPr>
        <w:autoSpaceDE w:val="0"/>
        <w:autoSpaceDN w:val="0"/>
        <w:adjustRightInd w:val="0"/>
        <w:rPr>
          <w:rFonts w:cs="Times New Roman"/>
        </w:rPr>
      </w:pPr>
    </w:p>
    <w:bookmarkStart w:id="6" w:name="_MON_1455609000"/>
    <w:bookmarkEnd w:id="6"/>
    <w:p w:rsidR="00F7095E" w:rsidRDefault="009620D8" w:rsidP="00F7095E">
      <w:pPr>
        <w:autoSpaceDE w:val="0"/>
        <w:autoSpaceDN w:val="0"/>
        <w:adjustRightInd w:val="0"/>
        <w:rPr>
          <w:rFonts w:cs="Times New Roman"/>
        </w:rPr>
      </w:pPr>
      <w:r>
        <w:rPr>
          <w:rFonts w:cs="Times New Roman"/>
        </w:rPr>
        <w:object w:dxaOrig="9375" w:dyaOrig="2821">
          <v:shape id="_x0000_i1030" type="#_x0000_t75" style="width:468.6pt;height:141pt" o:ole="">
            <v:imagedata r:id="rId22" o:title=""/>
          </v:shape>
          <o:OLEObject Type="Embed" ProgID="Excel.Sheet.12" ShapeID="_x0000_i1030" DrawAspect="Content" ObjectID="_1494923880" r:id="rId23"/>
        </w:object>
      </w:r>
    </w:p>
    <w:p w:rsidR="00F7095E" w:rsidRDefault="00F7095E" w:rsidP="00F7095E">
      <w:pPr>
        <w:autoSpaceDE w:val="0"/>
        <w:autoSpaceDN w:val="0"/>
        <w:adjustRightInd w:val="0"/>
        <w:rPr>
          <w:rFonts w:cs="Times New Roman"/>
        </w:rPr>
      </w:pPr>
    </w:p>
    <w:p w:rsidR="004E033D" w:rsidRPr="004E033D" w:rsidRDefault="004E033D" w:rsidP="00F7095E">
      <w:pPr>
        <w:autoSpaceDE w:val="0"/>
        <w:autoSpaceDN w:val="0"/>
        <w:adjustRightInd w:val="0"/>
        <w:rPr>
          <w:rFonts w:cs="Times New Roman"/>
          <w:i/>
        </w:rPr>
      </w:pPr>
      <w:r w:rsidRPr="004A4370">
        <w:rPr>
          <w:rFonts w:cs="Times New Roman"/>
          <w:i/>
        </w:rPr>
        <w:t>A summary of changes in capit</w:t>
      </w:r>
      <w:r w:rsidR="004A4370" w:rsidRPr="004A4370">
        <w:rPr>
          <w:rFonts w:cs="Times New Roman"/>
          <w:i/>
        </w:rPr>
        <w:t>al assets is disclosed in Note 5</w:t>
      </w:r>
      <w:r w:rsidRPr="004A4370">
        <w:rPr>
          <w:rFonts w:cs="Times New Roman"/>
          <w:i/>
        </w:rPr>
        <w:t>.</w:t>
      </w:r>
    </w:p>
    <w:p w:rsidR="00F7095E" w:rsidRDefault="00F7095E" w:rsidP="00F7095E">
      <w:pPr>
        <w:autoSpaceDE w:val="0"/>
        <w:autoSpaceDN w:val="0"/>
        <w:adjustRightInd w:val="0"/>
        <w:rPr>
          <w:rFonts w:cs="Times New Roman"/>
        </w:rPr>
      </w:pPr>
      <w:r w:rsidRPr="006142F4">
        <w:rPr>
          <w:rFonts w:cs="Times New Roman"/>
        </w:rPr>
        <w:t>The decrease</w:t>
      </w:r>
      <w:r>
        <w:rPr>
          <w:rFonts w:cs="Times New Roman"/>
          <w:i/>
        </w:rPr>
        <w:t xml:space="preserve"> </w:t>
      </w:r>
      <w:r>
        <w:rPr>
          <w:rFonts w:cs="Times New Roman"/>
        </w:rPr>
        <w:t xml:space="preserve">in net capital assets can be attributed to depreciation of the Pierce College Fort Steilacoom Rainier Science and Technology Building completed in FY 2010, the Pierce College </w:t>
      </w:r>
      <w:r w:rsidRPr="00B50FB0">
        <w:rPr>
          <w:rFonts w:cs="Times New Roman"/>
        </w:rPr>
        <w:t xml:space="preserve">Puyallup Arts and Allied Health Building completed in FY 2010, as well as the completion of major improvements related to the Pierce College Fort Steilacoom Cascade Core Renovation Project (Phase 2) in FY 2013. </w:t>
      </w:r>
      <w:r w:rsidRPr="00CA1D4C">
        <w:rPr>
          <w:rFonts w:cs="Times New Roman"/>
        </w:rPr>
        <w:t>In FY 2014, the College applied the retroactive infrastructure reporting requirements of Government Accounting Standards Board Statement Number 34 for the first time.  FY 2013 amounts have not been restated to recognize these changes.</w:t>
      </w:r>
    </w:p>
    <w:p w:rsidR="009620D8" w:rsidRDefault="009620D8" w:rsidP="00F7095E">
      <w:pPr>
        <w:autoSpaceDE w:val="0"/>
        <w:autoSpaceDN w:val="0"/>
        <w:adjustRightInd w:val="0"/>
        <w:rPr>
          <w:sz w:val="16"/>
          <w:szCs w:val="16"/>
        </w:rPr>
      </w:pPr>
    </w:p>
    <w:p w:rsidR="00F7095E" w:rsidRPr="00F7095E" w:rsidRDefault="00F7095E" w:rsidP="00F7095E">
      <w:pPr>
        <w:autoSpaceDE w:val="0"/>
        <w:autoSpaceDN w:val="0"/>
        <w:adjustRightInd w:val="0"/>
        <w:rPr>
          <w:sz w:val="16"/>
          <w:szCs w:val="16"/>
        </w:rPr>
      </w:pPr>
      <w:r>
        <w:rPr>
          <w:rFonts w:cs="Times New Roman"/>
        </w:rPr>
        <w:t xml:space="preserve">At June 30, 2014, the College had $7,055,000 in outstanding debt.  The College entered into a Certificate of Participation (COP) for the Pierce College Fort Steilacoom Health Education Center (HEC) during FY 2006 as well as the Pierce College Puyallup Health Education Center (HEP) in FY2007.  </w:t>
      </w:r>
    </w:p>
    <w:p w:rsidR="00F7095E" w:rsidRDefault="00F7095E" w:rsidP="00F7095E">
      <w:pPr>
        <w:autoSpaceDE w:val="0"/>
        <w:autoSpaceDN w:val="0"/>
        <w:adjustRightInd w:val="0"/>
        <w:rPr>
          <w:rFonts w:cs="Times New Roman"/>
        </w:rPr>
      </w:pPr>
    </w:p>
    <w:p w:rsidR="004E033D" w:rsidRPr="004E033D" w:rsidRDefault="00E341E4" w:rsidP="00F7095E">
      <w:pPr>
        <w:autoSpaceDE w:val="0"/>
        <w:autoSpaceDN w:val="0"/>
        <w:adjustRightInd w:val="0"/>
        <w:rPr>
          <w:rFonts w:cs="Times New Roman"/>
          <w:i/>
        </w:rPr>
      </w:pPr>
      <w:r w:rsidRPr="00E341E4">
        <w:rPr>
          <w:rFonts w:cs="Times New Roman"/>
          <w:i/>
        </w:rPr>
        <w:t>See Note 12</w:t>
      </w:r>
      <w:r w:rsidR="004E033D" w:rsidRPr="00E341E4">
        <w:rPr>
          <w:rFonts w:cs="Times New Roman"/>
          <w:i/>
        </w:rPr>
        <w:t xml:space="preserve"> for additional information on long-term debt activities.</w:t>
      </w:r>
    </w:p>
    <w:p w:rsidR="004E033D" w:rsidRDefault="004E033D" w:rsidP="00F7095E">
      <w:pPr>
        <w:autoSpaceDE w:val="0"/>
        <w:autoSpaceDN w:val="0"/>
        <w:adjustRightInd w:val="0"/>
        <w:rPr>
          <w:rFonts w:cs="Times New Roman"/>
        </w:rPr>
      </w:pPr>
    </w:p>
    <w:p w:rsidR="00F7095E" w:rsidRPr="009211A5" w:rsidRDefault="00F7095E" w:rsidP="00F7095E">
      <w:pPr>
        <w:autoSpaceDE w:val="0"/>
        <w:autoSpaceDN w:val="0"/>
        <w:adjustRightInd w:val="0"/>
        <w:rPr>
          <w:rFonts w:cs="Times New Roman"/>
          <w:b/>
          <w:iCs/>
          <w:color w:val="262626" w:themeColor="text1" w:themeTint="D9"/>
        </w:rPr>
      </w:pPr>
      <w:r w:rsidRPr="009211A5">
        <w:rPr>
          <w:rFonts w:cs="Times New Roman"/>
          <w:b/>
          <w:iCs/>
          <w:color w:val="262626" w:themeColor="text1" w:themeTint="D9"/>
        </w:rPr>
        <w:t>Economic Factors That Will Affect the Future</w:t>
      </w:r>
    </w:p>
    <w:p w:rsidR="00F7095E" w:rsidRPr="007B77FB" w:rsidRDefault="00F7095E" w:rsidP="00F7095E">
      <w:pPr>
        <w:autoSpaceDE w:val="0"/>
        <w:autoSpaceDN w:val="0"/>
        <w:adjustRightInd w:val="0"/>
        <w:rPr>
          <w:rFonts w:cs="Times New Roman"/>
          <w:b/>
        </w:rPr>
      </w:pPr>
      <w:r>
        <w:rPr>
          <w:rFonts w:cs="Times New Roman"/>
        </w:rPr>
        <w:t xml:space="preserve">Following a trend that began in FY 2009, </w:t>
      </w:r>
      <w:r w:rsidRPr="00B25369">
        <w:rPr>
          <w:rFonts w:cs="Times New Roman"/>
        </w:rPr>
        <w:t xml:space="preserve">the College’s state </w:t>
      </w:r>
      <w:r>
        <w:rPr>
          <w:rFonts w:cs="Times New Roman"/>
        </w:rPr>
        <w:t xml:space="preserve">operating </w:t>
      </w:r>
      <w:r w:rsidRPr="00B25369">
        <w:rPr>
          <w:rFonts w:cs="Times New Roman"/>
        </w:rPr>
        <w:t xml:space="preserve">appropriations </w:t>
      </w:r>
      <w:r>
        <w:rPr>
          <w:rFonts w:cs="Times New Roman"/>
        </w:rPr>
        <w:t xml:space="preserve">continued to </w:t>
      </w:r>
      <w:r w:rsidRPr="00B25369">
        <w:rPr>
          <w:rFonts w:cs="Times New Roman"/>
        </w:rPr>
        <w:t>decrease</w:t>
      </w:r>
      <w:r>
        <w:rPr>
          <w:rFonts w:cs="Times New Roman"/>
        </w:rPr>
        <w:t xml:space="preserve"> through FY 2013.  More recently, when creating the 2013 – 2015 biennial budget, the state Legislature re-invested in community and technical colleges.   They continued this trend with a supplemental budget that included community colleges as a key partner in an investment in aerospace training.  As a result, the net reduction of community college funding between FY 2009 and expected funding levels by the end of FY 2015 will have been a little over 15 percent.  These investments in community colleges allowed the Legislature to keep FY 2014 tuition flat for </w:t>
      </w:r>
      <w:r w:rsidRPr="00B25369">
        <w:rPr>
          <w:rFonts w:cs="Times New Roman"/>
        </w:rPr>
        <w:t>resident</w:t>
      </w:r>
      <w:r>
        <w:rPr>
          <w:rFonts w:cs="Times New Roman"/>
        </w:rPr>
        <w:t>, non-resident and baccalaureate students.  It’s unclear how much opportunity there may be for additional investments in community and technical colleges in the next few years, as state budget writers continue to grapple with court-mandated basic education obligations.</w:t>
      </w:r>
    </w:p>
    <w:p w:rsidR="00F7095E" w:rsidRDefault="00F7095E" w:rsidP="00F7095E">
      <w:pPr>
        <w:autoSpaceDE w:val="0"/>
        <w:autoSpaceDN w:val="0"/>
        <w:adjustRightInd w:val="0"/>
        <w:rPr>
          <w:rFonts w:cs="Times New Roman"/>
        </w:rPr>
      </w:pPr>
    </w:p>
    <w:p w:rsidR="008052EB" w:rsidRDefault="00F7095E" w:rsidP="00F7095E">
      <w:pPr>
        <w:autoSpaceDE w:val="0"/>
        <w:autoSpaceDN w:val="0"/>
        <w:adjustRightInd w:val="0"/>
        <w:rPr>
          <w:rFonts w:cs="Times New Roman"/>
        </w:rPr>
      </w:pPr>
      <w:r>
        <w:rPr>
          <w:rFonts w:cs="Times New Roman"/>
        </w:rPr>
        <w:t>Washington’s Economic and Revenue Forecast Council prepares independent forecasts quarterly throughout the year.  In its most recent forecast (February 2014), the council observed that m</w:t>
      </w:r>
      <w:r w:rsidRPr="00B25369">
        <w:rPr>
          <w:rFonts w:cs="Times New Roman"/>
        </w:rPr>
        <w:t xml:space="preserve">ost </w:t>
      </w:r>
      <w:r w:rsidRPr="00576A43">
        <w:rPr>
          <w:rFonts w:cs="Times New Roman"/>
        </w:rPr>
        <w:t>of the state’s economic risk factors</w:t>
      </w:r>
      <w:r>
        <w:rPr>
          <w:rFonts w:cs="Times New Roman"/>
        </w:rPr>
        <w:t xml:space="preserve"> continue to come </w:t>
      </w:r>
      <w:r w:rsidRPr="00576A43">
        <w:rPr>
          <w:rFonts w:cs="Times New Roman"/>
        </w:rPr>
        <w:t xml:space="preserve">from outside the state. </w:t>
      </w:r>
      <w:r>
        <w:rPr>
          <w:rFonts w:cs="Times New Roman"/>
        </w:rPr>
        <w:t xml:space="preserve"> </w:t>
      </w:r>
      <w:r w:rsidRPr="00576A43">
        <w:rPr>
          <w:rFonts w:cs="Times New Roman"/>
        </w:rPr>
        <w:t>A slowing Chinese economy, the potential for a slowdown in</w:t>
      </w:r>
      <w:r>
        <w:rPr>
          <w:rFonts w:cs="Times New Roman"/>
        </w:rPr>
        <w:t xml:space="preserve"> </w:t>
      </w:r>
      <w:r w:rsidRPr="00576A43">
        <w:rPr>
          <w:rFonts w:cs="Times New Roman"/>
        </w:rPr>
        <w:t xml:space="preserve">the U.S. housing recovery, and European economic and debt problems all remain major threats to the U.S. and Washington economies. </w:t>
      </w:r>
      <w:r>
        <w:rPr>
          <w:rFonts w:cs="Times New Roman"/>
        </w:rPr>
        <w:t xml:space="preserve"> </w:t>
      </w:r>
      <w:r w:rsidRPr="00576A43">
        <w:rPr>
          <w:rFonts w:cs="Times New Roman"/>
        </w:rPr>
        <w:t>However, the passage of a federal budget in January and the recent suspension of the debt ceiling reduce uncertainty surrounding federal fiscal policy.</w:t>
      </w:r>
      <w:r>
        <w:rPr>
          <w:rFonts w:cs="Times New Roman"/>
        </w:rPr>
        <w:t xml:space="preserve">  </w:t>
      </w:r>
    </w:p>
    <w:p w:rsidR="009620D8" w:rsidRDefault="009620D8" w:rsidP="00F7095E">
      <w:pPr>
        <w:autoSpaceDE w:val="0"/>
        <w:autoSpaceDN w:val="0"/>
        <w:adjustRightInd w:val="0"/>
        <w:rPr>
          <w:rFonts w:cs="Times New Roman"/>
        </w:rPr>
      </w:pPr>
    </w:p>
    <w:p w:rsidR="00F7095E" w:rsidRPr="00576A43" w:rsidRDefault="00F7095E" w:rsidP="00F7095E">
      <w:pPr>
        <w:autoSpaceDE w:val="0"/>
        <w:autoSpaceDN w:val="0"/>
        <w:adjustRightInd w:val="0"/>
        <w:rPr>
          <w:rFonts w:cs="Times New Roman"/>
        </w:rPr>
      </w:pPr>
      <w:r>
        <w:rPr>
          <w:rFonts w:cs="Times New Roman"/>
        </w:rPr>
        <w:t xml:space="preserve">Closer to home, Washington continues to add jobs, including showing growth in the manufacturing sector.   Housing construction, home prices and car sales also increased and exports are at an all-time high.  Both employment in Washington state and personal income are expected to continue to grow in 2014 and through 2019, the end of the period covered by the forecast.   </w:t>
      </w:r>
    </w:p>
    <w:p w:rsidR="00F7095E" w:rsidRPr="00576A43" w:rsidRDefault="00F7095E" w:rsidP="00F7095E">
      <w:pPr>
        <w:autoSpaceDE w:val="0"/>
        <w:autoSpaceDN w:val="0"/>
        <w:adjustRightInd w:val="0"/>
        <w:rPr>
          <w:rFonts w:cs="Times New Roman"/>
        </w:rPr>
      </w:pPr>
      <w:r w:rsidRPr="00576A43">
        <w:rPr>
          <w:rFonts w:cs="Times New Roman"/>
        </w:rPr>
        <w:t xml:space="preserve"> </w:t>
      </w:r>
    </w:p>
    <w:p w:rsidR="00F7095E" w:rsidRDefault="00F7095E" w:rsidP="00F7095E">
      <w:pPr>
        <w:autoSpaceDE w:val="0"/>
        <w:autoSpaceDN w:val="0"/>
        <w:adjustRightInd w:val="0"/>
        <w:rPr>
          <w:rFonts w:cs="Times New Roman"/>
        </w:rPr>
      </w:pPr>
      <w:r>
        <w:rPr>
          <w:rFonts w:cs="Times New Roman"/>
        </w:rPr>
        <w:t xml:space="preserve">A hallmark of community colleges is the flexibility to quickly respond to the needs of the community, resulting in a pattern of high enrollment during economic downturns, punctuated by lower enrollment when the job market is strong.  The Great Recession of 2008 has had a lingering effect on the job market in Washington, which has only recently shown improvement.  </w:t>
      </w:r>
      <w:r w:rsidRPr="00751485">
        <w:rPr>
          <w:rFonts w:cs="Times New Roman"/>
        </w:rPr>
        <w:t>Enrollment is down</w:t>
      </w:r>
      <w:r>
        <w:rPr>
          <w:rFonts w:cs="Times New Roman"/>
          <w:i/>
        </w:rPr>
        <w:t xml:space="preserve"> </w:t>
      </w:r>
      <w:r w:rsidRPr="00CA1D4C">
        <w:rPr>
          <w:rFonts w:cs="Times New Roman"/>
        </w:rPr>
        <w:t>slightly</w:t>
      </w:r>
      <w:r w:rsidRPr="00751485">
        <w:rPr>
          <w:rFonts w:cs="Times New Roman"/>
        </w:rPr>
        <w:t xml:space="preserve"> about </w:t>
      </w:r>
      <w:r>
        <w:rPr>
          <w:rFonts w:cs="Times New Roman"/>
        </w:rPr>
        <w:t>1</w:t>
      </w:r>
      <w:r w:rsidRPr="00751485">
        <w:rPr>
          <w:rFonts w:cs="Times New Roman"/>
        </w:rPr>
        <w:t>% from</w:t>
      </w:r>
      <w:r>
        <w:rPr>
          <w:rFonts w:cs="Times New Roman"/>
        </w:rPr>
        <w:t xml:space="preserve"> FY2013, </w:t>
      </w:r>
      <w:r w:rsidRPr="00B25369">
        <w:rPr>
          <w:rFonts w:cs="Times New Roman"/>
        </w:rPr>
        <w:t>which, if this trend continues, will result in a significant reduction in tuition</w:t>
      </w:r>
      <w:r>
        <w:rPr>
          <w:rFonts w:cs="Times New Roman"/>
        </w:rPr>
        <w:t xml:space="preserve"> </w:t>
      </w:r>
      <w:r w:rsidRPr="00B25369">
        <w:rPr>
          <w:rFonts w:cs="Times New Roman"/>
        </w:rPr>
        <w:t>revenue.</w:t>
      </w:r>
    </w:p>
    <w:p w:rsidR="008052EB" w:rsidRDefault="008052EB" w:rsidP="00F7095E">
      <w:pPr>
        <w:autoSpaceDE w:val="0"/>
        <w:autoSpaceDN w:val="0"/>
        <w:adjustRightInd w:val="0"/>
        <w:rPr>
          <w:rFonts w:cs="Times New Roman"/>
        </w:rPr>
      </w:pPr>
    </w:p>
    <w:p w:rsidR="008052EB" w:rsidRDefault="008052EB"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r>
        <w:rPr>
          <w:rFonts w:cs="Times New Roman"/>
          <w:noProof/>
        </w:rPr>
        <w:drawing>
          <wp:inline distT="0" distB="0" distL="0" distR="0" wp14:anchorId="4B553E57" wp14:editId="20455B5C">
            <wp:extent cx="4335780" cy="2522220"/>
            <wp:effectExtent l="0" t="0" r="7620" b="1143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p>
    <w:p w:rsidR="00F7095E" w:rsidRDefault="00F7095E" w:rsidP="00F7095E">
      <w:pPr>
        <w:autoSpaceDE w:val="0"/>
        <w:autoSpaceDN w:val="0"/>
        <w:adjustRightInd w:val="0"/>
        <w:rPr>
          <w:rFonts w:cs="Times New Roman"/>
        </w:rPr>
      </w:pPr>
    </w:p>
    <w:p w:rsidR="008E4600" w:rsidRPr="008E4600" w:rsidRDefault="008E4600" w:rsidP="008E4600"/>
    <w:p w:rsidR="00113B57" w:rsidRPr="00344123" w:rsidRDefault="00113B57" w:rsidP="00C90D08">
      <w:pPr>
        <w:rPr>
          <w:sz w:val="20"/>
          <w:szCs w:val="20"/>
          <w:highlight w:val="yellow"/>
        </w:rPr>
      </w:pPr>
    </w:p>
    <w:p w:rsidR="00113B57" w:rsidRPr="00344123" w:rsidRDefault="00113B57" w:rsidP="00C90D08">
      <w:pPr>
        <w:rPr>
          <w:sz w:val="20"/>
          <w:szCs w:val="20"/>
          <w:highlight w:val="yellow"/>
        </w:rPr>
      </w:pPr>
    </w:p>
    <w:p w:rsidR="003F6741" w:rsidRPr="00A94C5D" w:rsidRDefault="003F6741" w:rsidP="00A94C5D">
      <w:pPr>
        <w:rPr>
          <w:highlight w:val="yellow"/>
        </w:rPr>
      </w:pPr>
      <w:r>
        <w:rPr>
          <w:highlight w:val="yellow"/>
        </w:rPr>
        <w:br w:type="page"/>
      </w:r>
    </w:p>
    <w:p w:rsidR="003F6741" w:rsidRDefault="00706A63" w:rsidP="003F6741">
      <w:pPr>
        <w:pStyle w:val="Heading1"/>
        <w:rPr>
          <w:rFonts w:ascii="Times New Roman" w:hAnsi="Times New Roman" w:cs="Times New Roman"/>
          <w:color w:val="632423" w:themeColor="accent2" w:themeShade="80"/>
        </w:rPr>
      </w:pPr>
      <w:bookmarkStart w:id="7" w:name="_Toc370714743"/>
      <w:r w:rsidRPr="006E2421">
        <w:rPr>
          <w:rFonts w:ascii="Times New Roman" w:hAnsi="Times New Roman" w:cs="Times New Roman"/>
          <w:color w:val="632423" w:themeColor="accent2" w:themeShade="80"/>
        </w:rPr>
        <w:lastRenderedPageBreak/>
        <w:t xml:space="preserve">Pierce </w:t>
      </w:r>
      <w:r w:rsidR="00291240" w:rsidRPr="006E2421">
        <w:rPr>
          <w:rFonts w:ascii="Times New Roman" w:hAnsi="Times New Roman" w:cs="Times New Roman"/>
          <w:color w:val="632423" w:themeColor="accent2" w:themeShade="80"/>
        </w:rPr>
        <w:t xml:space="preserve">College </w:t>
      </w:r>
      <w:r w:rsidR="003F6741" w:rsidRPr="006E2421">
        <w:rPr>
          <w:rFonts w:ascii="Times New Roman" w:hAnsi="Times New Roman" w:cs="Times New Roman"/>
          <w:color w:val="632423" w:themeColor="accent2" w:themeShade="80"/>
        </w:rPr>
        <w:t xml:space="preserve">Statement </w:t>
      </w:r>
      <w:r w:rsidR="003F6741" w:rsidRPr="006E2421">
        <w:rPr>
          <w:rFonts w:ascii="Times New Roman" w:hAnsi="Times New Roman" w:cs="Times New Roman"/>
          <w:i/>
          <w:color w:val="632423" w:themeColor="accent2" w:themeShade="80"/>
        </w:rPr>
        <w:t>of</w:t>
      </w:r>
      <w:r w:rsidR="003F6741" w:rsidRPr="006E2421">
        <w:rPr>
          <w:rFonts w:ascii="Times New Roman" w:hAnsi="Times New Roman" w:cs="Times New Roman"/>
          <w:color w:val="632423" w:themeColor="accent2" w:themeShade="80"/>
        </w:rPr>
        <w:t xml:space="preserve"> Net Position</w:t>
      </w:r>
      <w:bookmarkEnd w:id="7"/>
    </w:p>
    <w:p w:rsidR="00315990" w:rsidRPr="00315990" w:rsidRDefault="00315990" w:rsidP="00315990"/>
    <w:p w:rsidR="006E2421" w:rsidRDefault="00834DD9" w:rsidP="006E2421">
      <w:r w:rsidRPr="00834DD9">
        <w:rPr>
          <w:noProof/>
        </w:rPr>
        <w:drawing>
          <wp:inline distT="0" distB="0" distL="0" distR="0">
            <wp:extent cx="6400800" cy="818301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8183013"/>
                    </a:xfrm>
                    <a:prstGeom prst="rect">
                      <a:avLst/>
                    </a:prstGeom>
                    <a:noFill/>
                    <a:ln>
                      <a:noFill/>
                    </a:ln>
                  </pic:spPr>
                </pic:pic>
              </a:graphicData>
            </a:graphic>
          </wp:inline>
        </w:drawing>
      </w:r>
    </w:p>
    <w:p w:rsidR="003F6741" w:rsidRDefault="006E2421" w:rsidP="003F6741">
      <w:pPr>
        <w:pStyle w:val="Heading1"/>
        <w:rPr>
          <w:color w:val="632423" w:themeColor="accent2" w:themeShade="80"/>
        </w:rPr>
      </w:pPr>
      <w:bookmarkStart w:id="8" w:name="_Toc370714744"/>
      <w:r w:rsidRPr="006E2421">
        <w:rPr>
          <w:color w:val="632423" w:themeColor="accent2" w:themeShade="80"/>
        </w:rPr>
        <w:lastRenderedPageBreak/>
        <w:t xml:space="preserve">Pierce </w:t>
      </w:r>
      <w:r w:rsidR="00291240" w:rsidRPr="006E2421">
        <w:rPr>
          <w:color w:val="632423" w:themeColor="accent2" w:themeShade="80"/>
        </w:rPr>
        <w:t xml:space="preserve">College </w:t>
      </w:r>
      <w:r w:rsidR="003F6741" w:rsidRPr="006E2421">
        <w:rPr>
          <w:color w:val="632423" w:themeColor="accent2" w:themeShade="80"/>
        </w:rPr>
        <w:t xml:space="preserve">Statement </w:t>
      </w:r>
      <w:r w:rsidR="003F6741" w:rsidRPr="006E2421">
        <w:rPr>
          <w:i/>
          <w:color w:val="632423" w:themeColor="accent2" w:themeShade="80"/>
        </w:rPr>
        <w:t xml:space="preserve">of </w:t>
      </w:r>
      <w:r w:rsidRPr="006E2421">
        <w:rPr>
          <w:color w:val="632423" w:themeColor="accent2" w:themeShade="80"/>
        </w:rPr>
        <w:t>Revenues, Expenses</w:t>
      </w:r>
      <w:r w:rsidR="003F6741" w:rsidRPr="006E2421">
        <w:rPr>
          <w:color w:val="632423" w:themeColor="accent2" w:themeShade="80"/>
        </w:rPr>
        <w:t xml:space="preserve"> </w:t>
      </w:r>
      <w:r w:rsidR="003F6741" w:rsidRPr="006E2421">
        <w:rPr>
          <w:i/>
          <w:color w:val="632423" w:themeColor="accent2" w:themeShade="80"/>
        </w:rPr>
        <w:t>and</w:t>
      </w:r>
      <w:r w:rsidR="003F6741" w:rsidRPr="006E2421">
        <w:rPr>
          <w:color w:val="632423" w:themeColor="accent2" w:themeShade="80"/>
        </w:rPr>
        <w:t xml:space="preserve"> Changes </w:t>
      </w:r>
      <w:r w:rsidR="003F6741" w:rsidRPr="006E2421">
        <w:rPr>
          <w:i/>
          <w:color w:val="632423" w:themeColor="accent2" w:themeShade="80"/>
        </w:rPr>
        <w:t>in</w:t>
      </w:r>
      <w:r w:rsidR="003F6741" w:rsidRPr="006E2421">
        <w:rPr>
          <w:color w:val="632423" w:themeColor="accent2" w:themeShade="80"/>
        </w:rPr>
        <w:t xml:space="preserve"> Net Position</w:t>
      </w:r>
      <w:bookmarkEnd w:id="8"/>
    </w:p>
    <w:p w:rsidR="00830BCD" w:rsidRDefault="00830BCD" w:rsidP="00830BCD"/>
    <w:p w:rsidR="00830BCD" w:rsidRPr="00830BCD" w:rsidRDefault="004F377E" w:rsidP="00830BCD">
      <w:r w:rsidRPr="004F377E">
        <w:rPr>
          <w:noProof/>
        </w:rPr>
        <w:drawing>
          <wp:inline distT="0" distB="0" distL="0" distR="0">
            <wp:extent cx="6393180" cy="80314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93180" cy="8031480"/>
                    </a:xfrm>
                    <a:prstGeom prst="rect">
                      <a:avLst/>
                    </a:prstGeom>
                    <a:noFill/>
                    <a:ln>
                      <a:noFill/>
                    </a:ln>
                  </pic:spPr>
                </pic:pic>
              </a:graphicData>
            </a:graphic>
          </wp:inline>
        </w:drawing>
      </w:r>
    </w:p>
    <w:p w:rsidR="004759F2" w:rsidRDefault="007B6E06" w:rsidP="004759F2">
      <w:pPr>
        <w:pStyle w:val="Heading1"/>
        <w:rPr>
          <w:color w:val="632423" w:themeColor="accent2" w:themeShade="80"/>
        </w:rPr>
      </w:pPr>
      <w:bookmarkStart w:id="9" w:name="_Toc370714745"/>
      <w:r w:rsidRPr="007B6E06">
        <w:rPr>
          <w:color w:val="632423" w:themeColor="accent2" w:themeShade="80"/>
        </w:rPr>
        <w:lastRenderedPageBreak/>
        <w:t xml:space="preserve">Pierce </w:t>
      </w:r>
      <w:r w:rsidR="00291240" w:rsidRPr="007B6E06">
        <w:rPr>
          <w:color w:val="632423" w:themeColor="accent2" w:themeShade="80"/>
        </w:rPr>
        <w:t xml:space="preserve">College </w:t>
      </w:r>
      <w:r w:rsidR="003F6741" w:rsidRPr="007B6E06">
        <w:rPr>
          <w:color w:val="632423" w:themeColor="accent2" w:themeShade="80"/>
        </w:rPr>
        <w:t xml:space="preserve">Statement </w:t>
      </w:r>
      <w:r w:rsidR="003F6741" w:rsidRPr="007B6E06">
        <w:rPr>
          <w:i/>
          <w:color w:val="632423" w:themeColor="accent2" w:themeShade="80"/>
        </w:rPr>
        <w:t>of</w:t>
      </w:r>
      <w:r w:rsidR="003F6741" w:rsidRPr="007B6E06">
        <w:rPr>
          <w:color w:val="632423" w:themeColor="accent2" w:themeShade="80"/>
        </w:rPr>
        <w:t xml:space="preserve"> Cash Flows</w:t>
      </w:r>
      <w:bookmarkEnd w:id="9"/>
    </w:p>
    <w:p w:rsidR="00AE3D4F" w:rsidRPr="00AE3D4F" w:rsidRDefault="00AE3D4F" w:rsidP="00AE3D4F"/>
    <w:p w:rsidR="00B91D69" w:rsidRDefault="00626342" w:rsidP="00AE3D4F">
      <w:r w:rsidRPr="00626342">
        <w:rPr>
          <w:noProof/>
        </w:rPr>
        <w:drawing>
          <wp:inline distT="0" distB="0" distL="0" distR="0">
            <wp:extent cx="6400165" cy="810768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6862" cy="8116164"/>
                    </a:xfrm>
                    <a:prstGeom prst="rect">
                      <a:avLst/>
                    </a:prstGeom>
                    <a:noFill/>
                    <a:ln>
                      <a:noFill/>
                    </a:ln>
                  </pic:spPr>
                </pic:pic>
              </a:graphicData>
            </a:graphic>
          </wp:inline>
        </w:drawing>
      </w:r>
    </w:p>
    <w:p w:rsidR="00291240" w:rsidRPr="007B6E06" w:rsidRDefault="007B6E06" w:rsidP="00291240">
      <w:pPr>
        <w:pStyle w:val="Heading1"/>
        <w:rPr>
          <w:rFonts w:ascii="Times New Roman" w:hAnsi="Times New Roman" w:cs="Times New Roman"/>
          <w:color w:val="632423" w:themeColor="accent2" w:themeShade="80"/>
        </w:rPr>
      </w:pPr>
      <w:bookmarkStart w:id="10" w:name="_Toc370714746"/>
      <w:r w:rsidRPr="007B6E06">
        <w:rPr>
          <w:rFonts w:ascii="Times New Roman" w:hAnsi="Times New Roman" w:cs="Times New Roman"/>
          <w:color w:val="632423" w:themeColor="accent2" w:themeShade="80"/>
        </w:rPr>
        <w:lastRenderedPageBreak/>
        <w:t xml:space="preserve">Pierce College </w:t>
      </w:r>
      <w:r w:rsidR="00291240" w:rsidRPr="007B6E06">
        <w:rPr>
          <w:rFonts w:ascii="Times New Roman" w:hAnsi="Times New Roman" w:cs="Times New Roman"/>
          <w:color w:val="632423" w:themeColor="accent2" w:themeShade="80"/>
        </w:rPr>
        <w:t>Foundation Statement</w:t>
      </w:r>
      <w:r>
        <w:rPr>
          <w:rFonts w:ascii="Times New Roman" w:hAnsi="Times New Roman" w:cs="Times New Roman"/>
          <w:color w:val="632423" w:themeColor="accent2" w:themeShade="80"/>
        </w:rPr>
        <w:t>s</w:t>
      </w:r>
      <w:r w:rsidR="00291240" w:rsidRPr="007B6E06">
        <w:rPr>
          <w:rFonts w:ascii="Times New Roman" w:hAnsi="Times New Roman" w:cs="Times New Roman"/>
          <w:color w:val="632423" w:themeColor="accent2" w:themeShade="80"/>
        </w:rPr>
        <w:t xml:space="preserve"> </w:t>
      </w:r>
      <w:r w:rsidR="00291240" w:rsidRPr="007B6E06">
        <w:rPr>
          <w:rFonts w:ascii="Times New Roman" w:hAnsi="Times New Roman" w:cs="Times New Roman"/>
          <w:i/>
          <w:color w:val="632423" w:themeColor="accent2" w:themeShade="80"/>
        </w:rPr>
        <w:t>of</w:t>
      </w:r>
      <w:r w:rsidR="00291240" w:rsidRPr="007B6E06">
        <w:rPr>
          <w:rFonts w:ascii="Times New Roman" w:hAnsi="Times New Roman" w:cs="Times New Roman"/>
          <w:color w:val="632423" w:themeColor="accent2" w:themeShade="80"/>
        </w:rPr>
        <w:t xml:space="preserve"> </w:t>
      </w:r>
      <w:r w:rsidR="00CD45F8" w:rsidRPr="007B6E06">
        <w:rPr>
          <w:rFonts w:ascii="Times New Roman" w:hAnsi="Times New Roman" w:cs="Times New Roman"/>
          <w:color w:val="632423" w:themeColor="accent2" w:themeShade="80"/>
        </w:rPr>
        <w:t>Financial</w:t>
      </w:r>
      <w:r w:rsidR="00291240" w:rsidRPr="007B6E06">
        <w:rPr>
          <w:rFonts w:ascii="Times New Roman" w:hAnsi="Times New Roman" w:cs="Times New Roman"/>
          <w:color w:val="632423" w:themeColor="accent2" w:themeShade="80"/>
        </w:rPr>
        <w:t xml:space="preserve"> Position</w:t>
      </w:r>
      <w:bookmarkEnd w:id="10"/>
    </w:p>
    <w:p w:rsidR="00360972" w:rsidRPr="00360972" w:rsidRDefault="00360972" w:rsidP="00360972"/>
    <w:p w:rsidR="00E457AD" w:rsidRPr="00410B5A" w:rsidRDefault="00E457AD" w:rsidP="00E457AD">
      <w:pPr>
        <w:tabs>
          <w:tab w:val="left" w:pos="8665"/>
        </w:tabs>
        <w:spacing w:line="30" w:lineRule="atLeast"/>
        <w:ind w:left="7074"/>
        <w:rPr>
          <w:rFonts w:ascii="Arial" w:eastAsia="Arial" w:hAnsi="Arial" w:cs="Arial"/>
          <w:sz w:val="3"/>
          <w:szCs w:val="3"/>
        </w:rPr>
      </w:pPr>
    </w:p>
    <w:p w:rsidR="00E457AD" w:rsidRPr="00410B5A" w:rsidRDefault="006D2B57" w:rsidP="006D2B57">
      <w:pPr>
        <w:spacing w:before="31"/>
        <w:ind w:right="2778"/>
        <w:rPr>
          <w:rFonts w:ascii="Arial"/>
          <w:color w:val="16151C"/>
          <w:sz w:val="19"/>
        </w:rPr>
      </w:pPr>
      <w:r w:rsidRPr="006D2B57">
        <w:rPr>
          <w:noProof/>
        </w:rPr>
        <w:drawing>
          <wp:inline distT="0" distB="0" distL="0" distR="0">
            <wp:extent cx="6332220" cy="461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220" cy="4617720"/>
                    </a:xfrm>
                    <a:prstGeom prst="rect">
                      <a:avLst/>
                    </a:prstGeom>
                    <a:noFill/>
                    <a:ln>
                      <a:noFill/>
                    </a:ln>
                  </pic:spPr>
                </pic:pic>
              </a:graphicData>
            </a:graphic>
          </wp:inline>
        </w:drawing>
      </w:r>
    </w:p>
    <w:p w:rsidR="00E457AD" w:rsidRPr="00410B5A" w:rsidRDefault="00E457AD" w:rsidP="00E457AD">
      <w:pPr>
        <w:rPr>
          <w:rFonts w:ascii="Arial" w:eastAsia="Arial" w:hAnsi="Arial" w:cs="Arial"/>
          <w:sz w:val="18"/>
          <w:szCs w:val="18"/>
        </w:rPr>
        <w:sectPr w:rsidR="00E457AD" w:rsidRPr="00410B5A" w:rsidSect="009211A5">
          <w:footerReference w:type="default" r:id="rId29"/>
          <w:footerReference w:type="first" r:id="rId30"/>
          <w:type w:val="continuous"/>
          <w:pgSz w:w="12240" w:h="15840"/>
          <w:pgMar w:top="900" w:right="1080" w:bottom="1440" w:left="1080" w:header="0" w:footer="790" w:gutter="0"/>
          <w:pgNumType w:start="0"/>
          <w:cols w:space="720"/>
          <w:titlePg/>
          <w:docGrid w:linePitch="326"/>
        </w:sectPr>
      </w:pPr>
    </w:p>
    <w:p w:rsidR="00291240" w:rsidRPr="007B6E06" w:rsidRDefault="007B6E06" w:rsidP="00291240">
      <w:pPr>
        <w:pStyle w:val="Heading1"/>
        <w:rPr>
          <w:rFonts w:ascii="Times New Roman" w:hAnsi="Times New Roman" w:cs="Times New Roman"/>
          <w:color w:val="632423" w:themeColor="accent2" w:themeShade="80"/>
        </w:rPr>
      </w:pPr>
      <w:bookmarkStart w:id="11" w:name="_Toc370714747"/>
      <w:r w:rsidRPr="007B6E06">
        <w:rPr>
          <w:rFonts w:ascii="Times New Roman" w:hAnsi="Times New Roman" w:cs="Times New Roman"/>
          <w:color w:val="632423" w:themeColor="accent2" w:themeShade="80"/>
        </w:rPr>
        <w:lastRenderedPageBreak/>
        <w:t xml:space="preserve">Pierce College </w:t>
      </w:r>
      <w:r w:rsidR="00291240" w:rsidRPr="007B6E06">
        <w:rPr>
          <w:rFonts w:ascii="Times New Roman" w:hAnsi="Times New Roman" w:cs="Times New Roman"/>
          <w:color w:val="632423" w:themeColor="accent2" w:themeShade="80"/>
        </w:rPr>
        <w:t>Foundation Statement</w:t>
      </w:r>
      <w:r w:rsidRPr="007B6E06">
        <w:rPr>
          <w:rFonts w:ascii="Times New Roman" w:hAnsi="Times New Roman" w:cs="Times New Roman"/>
          <w:color w:val="632423" w:themeColor="accent2" w:themeShade="80"/>
        </w:rPr>
        <w:t>s</w:t>
      </w:r>
      <w:r w:rsidR="00291240" w:rsidRPr="007B6E06">
        <w:rPr>
          <w:rFonts w:ascii="Times New Roman" w:hAnsi="Times New Roman" w:cs="Times New Roman"/>
          <w:color w:val="632423" w:themeColor="accent2" w:themeShade="80"/>
        </w:rPr>
        <w:t xml:space="preserve"> </w:t>
      </w:r>
      <w:r w:rsidR="00291240" w:rsidRPr="007B6E06">
        <w:rPr>
          <w:rFonts w:ascii="Times New Roman" w:hAnsi="Times New Roman" w:cs="Times New Roman"/>
          <w:i/>
          <w:color w:val="632423" w:themeColor="accent2" w:themeShade="80"/>
        </w:rPr>
        <w:t>of</w:t>
      </w:r>
      <w:r w:rsidR="00291240" w:rsidRPr="007B6E06">
        <w:rPr>
          <w:rFonts w:ascii="Times New Roman" w:hAnsi="Times New Roman" w:cs="Times New Roman"/>
          <w:color w:val="632423" w:themeColor="accent2" w:themeShade="80"/>
        </w:rPr>
        <w:t xml:space="preserve"> </w:t>
      </w:r>
      <w:r w:rsidR="00CD45F8" w:rsidRPr="007B6E06">
        <w:rPr>
          <w:rFonts w:ascii="Times New Roman" w:hAnsi="Times New Roman" w:cs="Times New Roman"/>
          <w:color w:val="632423" w:themeColor="accent2" w:themeShade="80"/>
        </w:rPr>
        <w:t>Activit</w:t>
      </w:r>
      <w:r w:rsidR="00344123" w:rsidRPr="007B6E06">
        <w:rPr>
          <w:rFonts w:ascii="Times New Roman" w:hAnsi="Times New Roman" w:cs="Times New Roman"/>
          <w:color w:val="632423" w:themeColor="accent2" w:themeShade="80"/>
        </w:rPr>
        <w:t>i</w:t>
      </w:r>
      <w:r w:rsidR="00CD45F8" w:rsidRPr="007B6E06">
        <w:rPr>
          <w:rFonts w:ascii="Times New Roman" w:hAnsi="Times New Roman" w:cs="Times New Roman"/>
          <w:color w:val="632423" w:themeColor="accent2" w:themeShade="80"/>
        </w:rPr>
        <w:t>es</w:t>
      </w:r>
      <w:r w:rsidR="00291240" w:rsidRPr="007B6E06">
        <w:rPr>
          <w:rFonts w:ascii="Times New Roman" w:hAnsi="Times New Roman" w:cs="Times New Roman"/>
          <w:color w:val="632423" w:themeColor="accent2" w:themeShade="80"/>
        </w:rPr>
        <w:t xml:space="preserve"> </w:t>
      </w:r>
      <w:r w:rsidR="00291240" w:rsidRPr="007B6E06">
        <w:rPr>
          <w:rFonts w:ascii="Times New Roman" w:hAnsi="Times New Roman" w:cs="Times New Roman"/>
          <w:i/>
          <w:color w:val="632423" w:themeColor="accent2" w:themeShade="80"/>
        </w:rPr>
        <w:t>and</w:t>
      </w:r>
      <w:r w:rsidR="00291240" w:rsidRPr="007B6E06">
        <w:rPr>
          <w:rFonts w:ascii="Times New Roman" w:hAnsi="Times New Roman" w:cs="Times New Roman"/>
          <w:color w:val="632423" w:themeColor="accent2" w:themeShade="80"/>
        </w:rPr>
        <w:t xml:space="preserve"> Changes </w:t>
      </w:r>
      <w:r w:rsidR="00291240" w:rsidRPr="007B6E06">
        <w:rPr>
          <w:rFonts w:ascii="Times New Roman" w:hAnsi="Times New Roman" w:cs="Times New Roman"/>
          <w:i/>
          <w:color w:val="632423" w:themeColor="accent2" w:themeShade="80"/>
        </w:rPr>
        <w:t>in</w:t>
      </w:r>
      <w:r w:rsidR="00291240" w:rsidRPr="007B6E06">
        <w:rPr>
          <w:rFonts w:ascii="Times New Roman" w:hAnsi="Times New Roman" w:cs="Times New Roman"/>
          <w:color w:val="632423" w:themeColor="accent2" w:themeShade="80"/>
        </w:rPr>
        <w:t xml:space="preserve"> Net Position</w:t>
      </w:r>
      <w:bookmarkEnd w:id="11"/>
    </w:p>
    <w:p w:rsidR="001B39D6" w:rsidRDefault="001B39D6" w:rsidP="001B39D6">
      <w:pPr>
        <w:spacing w:before="55"/>
        <w:ind w:left="2355" w:right="11035"/>
        <w:jc w:val="center"/>
        <w:rPr>
          <w:rFonts w:ascii="Arial"/>
          <w:b/>
          <w:color w:val="18161C"/>
          <w:sz w:val="19"/>
        </w:rPr>
      </w:pPr>
    </w:p>
    <w:p w:rsidR="001B39D6" w:rsidRDefault="006D2B57" w:rsidP="001B39D6">
      <w:pPr>
        <w:rPr>
          <w:rFonts w:ascii="Arial" w:eastAsia="Arial" w:hAnsi="Arial" w:cs="Arial"/>
          <w:sz w:val="20"/>
          <w:szCs w:val="20"/>
        </w:rPr>
      </w:pPr>
      <w:r w:rsidRPr="006D2B57">
        <w:rPr>
          <w:noProof/>
        </w:rPr>
        <w:drawing>
          <wp:inline distT="0" distB="0" distL="0" distR="0">
            <wp:extent cx="6858000" cy="7534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7534035"/>
                    </a:xfrm>
                    <a:prstGeom prst="rect">
                      <a:avLst/>
                    </a:prstGeom>
                    <a:noFill/>
                    <a:ln>
                      <a:noFill/>
                    </a:ln>
                  </pic:spPr>
                </pic:pic>
              </a:graphicData>
            </a:graphic>
          </wp:inline>
        </w:drawing>
      </w:r>
    </w:p>
    <w:p w:rsidR="00113B57" w:rsidRPr="007B6E06" w:rsidRDefault="00517122" w:rsidP="00315990">
      <w:pPr>
        <w:rPr>
          <w:color w:val="632423" w:themeColor="accent2" w:themeShade="80"/>
        </w:rPr>
      </w:pPr>
      <w:r>
        <w:rPr>
          <w:rFonts w:ascii="Arial" w:eastAsia="Arial" w:hAnsi="Arial" w:cs="Arial"/>
          <w:sz w:val="20"/>
          <w:szCs w:val="20"/>
        </w:rPr>
        <w:br w:type="page"/>
      </w:r>
      <w:bookmarkStart w:id="12" w:name="_Toc370714748"/>
      <w:r w:rsidR="007B6E06" w:rsidRPr="007B6E06">
        <w:rPr>
          <w:color w:val="632423" w:themeColor="accent2" w:themeShade="80"/>
        </w:rPr>
        <w:lastRenderedPageBreak/>
        <w:t xml:space="preserve">Notes </w:t>
      </w:r>
      <w:r w:rsidR="007B6E06" w:rsidRPr="007B6E06">
        <w:rPr>
          <w:i/>
          <w:color w:val="632423" w:themeColor="accent2" w:themeShade="80"/>
        </w:rPr>
        <w:t>to</w:t>
      </w:r>
      <w:r w:rsidR="007B6E06" w:rsidRPr="007B6E06">
        <w:rPr>
          <w:color w:val="632423" w:themeColor="accent2" w:themeShade="80"/>
        </w:rPr>
        <w:t xml:space="preserve"> </w:t>
      </w:r>
      <w:r w:rsidR="00113B57" w:rsidRPr="007B6E06">
        <w:rPr>
          <w:color w:val="632423" w:themeColor="accent2" w:themeShade="80"/>
        </w:rPr>
        <w:t>Financial Statements</w:t>
      </w:r>
      <w:bookmarkEnd w:id="12"/>
    </w:p>
    <w:p w:rsidR="00113B57" w:rsidRPr="00A74F62" w:rsidRDefault="00113B57" w:rsidP="00D0793D">
      <w:pPr>
        <w:rPr>
          <w:i/>
          <w:iCs/>
        </w:rPr>
      </w:pPr>
      <w:r w:rsidRPr="00A74F62">
        <w:rPr>
          <w:i/>
          <w:iCs/>
        </w:rPr>
        <w:t>June 30, 201</w:t>
      </w:r>
      <w:r w:rsidR="00E114CC">
        <w:rPr>
          <w:i/>
          <w:iCs/>
        </w:rPr>
        <w:t>4</w:t>
      </w:r>
    </w:p>
    <w:p w:rsidR="00113B57" w:rsidRDefault="00113B57" w:rsidP="00D0793D">
      <w:pPr>
        <w:rPr>
          <w:i/>
          <w:iCs/>
        </w:rPr>
      </w:pPr>
      <w:r w:rsidRPr="00A74F62">
        <w:rPr>
          <w:i/>
          <w:iCs/>
        </w:rPr>
        <w:t>These notes form an integral part of the financial statements.</w:t>
      </w:r>
    </w:p>
    <w:p w:rsidR="001C0C1E" w:rsidRPr="00A74F62" w:rsidRDefault="001C0C1E" w:rsidP="00D0793D">
      <w:pPr>
        <w:rPr>
          <w:i/>
          <w:iCs/>
        </w:rPr>
      </w:pPr>
    </w:p>
    <w:p w:rsidR="00113B57" w:rsidRPr="00A701AA" w:rsidRDefault="00113B57" w:rsidP="00D0793D">
      <w:pPr>
        <w:rPr>
          <w:b/>
          <w:bCs/>
          <w:color w:val="632423" w:themeColor="accent2" w:themeShade="80"/>
        </w:rPr>
      </w:pPr>
      <w:r w:rsidRPr="00A701AA">
        <w:rPr>
          <w:b/>
          <w:bCs/>
          <w:color w:val="632423" w:themeColor="accent2" w:themeShade="80"/>
        </w:rPr>
        <w:t>1. Summary of Significant Accounting Policies</w:t>
      </w:r>
    </w:p>
    <w:p w:rsidR="001C0C1E" w:rsidRDefault="001C0C1E" w:rsidP="00D0793D">
      <w:pPr>
        <w:rPr>
          <w:b/>
          <w:bCs/>
        </w:rPr>
      </w:pPr>
    </w:p>
    <w:p w:rsidR="00113B57" w:rsidRPr="009211A5" w:rsidRDefault="00113B57" w:rsidP="00D0793D">
      <w:pPr>
        <w:rPr>
          <w:b/>
          <w:bCs/>
          <w:color w:val="262626" w:themeColor="text1" w:themeTint="D9"/>
        </w:rPr>
      </w:pPr>
      <w:r w:rsidRPr="009211A5">
        <w:rPr>
          <w:b/>
          <w:bCs/>
          <w:color w:val="262626" w:themeColor="text1" w:themeTint="D9"/>
        </w:rPr>
        <w:t>Financial Reporting Entity</w:t>
      </w:r>
    </w:p>
    <w:p w:rsidR="002152E1" w:rsidRDefault="00927E93" w:rsidP="002152E1">
      <w:pPr>
        <w:autoSpaceDE w:val="0"/>
        <w:autoSpaceDN w:val="0"/>
        <w:adjustRightInd w:val="0"/>
        <w:rPr>
          <w:rFonts w:cs="Times New Roman"/>
        </w:rPr>
      </w:pPr>
      <w:r>
        <w:rPr>
          <w:rFonts w:cs="Times New Roman"/>
        </w:rPr>
        <w:t>Pierce</w:t>
      </w:r>
      <w:r w:rsidR="002152E1" w:rsidRPr="00014186">
        <w:rPr>
          <w:rFonts w:cs="Times New Roman"/>
        </w:rPr>
        <w:t xml:space="preserve"> College </w:t>
      </w:r>
      <w:r w:rsidR="002152E1">
        <w:rPr>
          <w:rFonts w:cs="Times New Roman"/>
        </w:rPr>
        <w:t>(the College) is a comprehensive community college offering</w:t>
      </w:r>
      <w:r w:rsidR="00D75A9A">
        <w:rPr>
          <w:rFonts w:cs="Times New Roman"/>
        </w:rPr>
        <w:t xml:space="preserve"> open-door academic programs, workforce education, basic skills, and community services. The College confers associates degrees</w:t>
      </w:r>
      <w:r w:rsidR="009C7744">
        <w:rPr>
          <w:rFonts w:cs="Times New Roman"/>
        </w:rPr>
        <w:t>,</w:t>
      </w:r>
      <w:r w:rsidR="00D75A9A">
        <w:rPr>
          <w:rFonts w:cs="Times New Roman"/>
        </w:rPr>
        <w:t xml:space="preserve"> certificates</w:t>
      </w:r>
      <w:r w:rsidR="009C7744">
        <w:rPr>
          <w:rFonts w:cs="Times New Roman"/>
        </w:rPr>
        <w:t xml:space="preserve"> and high school diplomas</w:t>
      </w:r>
      <w:r w:rsidR="00D75A9A">
        <w:rPr>
          <w:rFonts w:cs="Times New Roman"/>
        </w:rPr>
        <w:t xml:space="preserve">.  </w:t>
      </w:r>
      <w:r w:rsidR="002152E1">
        <w:rPr>
          <w:rFonts w:cs="Times New Roman"/>
        </w:rPr>
        <w:t>It is governed by a</w:t>
      </w:r>
      <w:r w:rsidR="002152E1" w:rsidRPr="00014186">
        <w:rPr>
          <w:rFonts w:cs="Times New Roman"/>
        </w:rPr>
        <w:t xml:space="preserve"> five-member Board of Trustees appointed by the Governor and confirmed by the state Senate.</w:t>
      </w:r>
    </w:p>
    <w:p w:rsidR="002152E1" w:rsidRDefault="002152E1" w:rsidP="002152E1">
      <w:pPr>
        <w:autoSpaceDE w:val="0"/>
        <w:autoSpaceDN w:val="0"/>
        <w:adjustRightInd w:val="0"/>
        <w:rPr>
          <w:rFonts w:cs="Times New Roman"/>
        </w:rPr>
      </w:pPr>
    </w:p>
    <w:p w:rsidR="00014186" w:rsidRDefault="002152E1" w:rsidP="005821BE">
      <w:pPr>
        <w:autoSpaceDE w:val="0"/>
        <w:autoSpaceDN w:val="0"/>
        <w:adjustRightInd w:val="0"/>
        <w:rPr>
          <w:rFonts w:cs="Times New Roman"/>
        </w:rPr>
      </w:pPr>
      <w:r>
        <w:rPr>
          <w:rFonts w:cs="Times New Roman"/>
        </w:rPr>
        <w:t xml:space="preserve">The </w:t>
      </w:r>
      <w:r w:rsidR="005821BE" w:rsidRPr="00014186">
        <w:rPr>
          <w:rFonts w:cs="Times New Roman"/>
        </w:rPr>
        <w:t xml:space="preserve">College is </w:t>
      </w:r>
      <w:r w:rsidR="00AE7EAB">
        <w:rPr>
          <w:rFonts w:cs="Times New Roman"/>
        </w:rPr>
        <w:t>an agency</w:t>
      </w:r>
      <w:r w:rsidR="00014186">
        <w:rPr>
          <w:rFonts w:cs="Times New Roman"/>
        </w:rPr>
        <w:t xml:space="preserve"> of the State of Washington.  The financial activity of the college is included in the State’s Comprehensive Annual Financial</w:t>
      </w:r>
      <w:r w:rsidR="009C7744">
        <w:rPr>
          <w:rFonts w:cs="Times New Roman"/>
        </w:rPr>
        <w:t xml:space="preserve"> Report.</w:t>
      </w:r>
    </w:p>
    <w:p w:rsidR="009C7744" w:rsidRPr="00014186" w:rsidRDefault="009C7744" w:rsidP="005821BE">
      <w:pPr>
        <w:autoSpaceDE w:val="0"/>
        <w:autoSpaceDN w:val="0"/>
        <w:adjustRightInd w:val="0"/>
        <w:rPr>
          <w:rFonts w:cs="Times New Roman"/>
          <w:i/>
          <w:sz w:val="22"/>
          <w:szCs w:val="22"/>
        </w:rPr>
      </w:pPr>
    </w:p>
    <w:p w:rsidR="00D52FBE" w:rsidRDefault="002E262D" w:rsidP="005821BE">
      <w:pPr>
        <w:autoSpaceDE w:val="0"/>
        <w:autoSpaceDN w:val="0"/>
        <w:adjustRightInd w:val="0"/>
        <w:rPr>
          <w:rFonts w:cs="Times New Roman"/>
        </w:rPr>
      </w:pPr>
      <w:r>
        <w:rPr>
          <w:rFonts w:cs="Times New Roman"/>
        </w:rPr>
        <w:t xml:space="preserve">The </w:t>
      </w:r>
      <w:r w:rsidR="00927E93">
        <w:rPr>
          <w:rFonts w:cs="Times New Roman"/>
        </w:rPr>
        <w:t xml:space="preserve">Pierce </w:t>
      </w:r>
      <w:r w:rsidRPr="00927E93">
        <w:rPr>
          <w:rFonts w:cs="Times New Roman"/>
        </w:rPr>
        <w:t>College Foundation</w:t>
      </w:r>
      <w:r w:rsidR="00927E93">
        <w:rPr>
          <w:rFonts w:cs="Times New Roman"/>
        </w:rPr>
        <w:t xml:space="preserve"> (the Foundation) </w:t>
      </w:r>
      <w:r>
        <w:rPr>
          <w:rFonts w:cs="Times New Roman"/>
        </w:rPr>
        <w:t xml:space="preserve">is a separate but affiliated non-profit entity, incorporated under Washington </w:t>
      </w:r>
      <w:r w:rsidRPr="007709E0">
        <w:rPr>
          <w:rFonts w:cs="Times New Roman"/>
        </w:rPr>
        <w:t xml:space="preserve">law in </w:t>
      </w:r>
      <w:r w:rsidR="007709E0" w:rsidRPr="007709E0">
        <w:rPr>
          <w:rFonts w:cs="Times New Roman"/>
        </w:rPr>
        <w:t xml:space="preserve">2003 </w:t>
      </w:r>
      <w:r w:rsidR="009C7744">
        <w:rPr>
          <w:rFonts w:cs="Times New Roman"/>
        </w:rPr>
        <w:t>and recognized as a tax exempt 501(c</w:t>
      </w:r>
      <w:proofErr w:type="gramStart"/>
      <w:r w:rsidR="009C7744">
        <w:rPr>
          <w:rFonts w:cs="Times New Roman"/>
        </w:rPr>
        <w:t>)(</w:t>
      </w:r>
      <w:proofErr w:type="gramEnd"/>
      <w:r w:rsidR="009C7744">
        <w:rPr>
          <w:rFonts w:cs="Times New Roman"/>
        </w:rPr>
        <w:t>3) charity</w:t>
      </w:r>
      <w:r>
        <w:rPr>
          <w:rFonts w:cs="Times New Roman"/>
        </w:rPr>
        <w:t>.</w:t>
      </w:r>
      <w:r w:rsidR="009C7744">
        <w:rPr>
          <w:rFonts w:cs="Times New Roman"/>
        </w:rPr>
        <w:t xml:space="preserve">  </w:t>
      </w:r>
      <w:r w:rsidR="002A4D1C">
        <w:rPr>
          <w:rFonts w:cs="Times New Roman"/>
        </w:rPr>
        <w:t xml:space="preserve">The Foundation’s charitable purpose is to </w:t>
      </w:r>
      <w:r w:rsidR="00927E93">
        <w:rPr>
          <w:rFonts w:cs="Times New Roman"/>
        </w:rPr>
        <w:t xml:space="preserve">build relationships with the community and acquire resources to support academic excellence and educational access at Pierce College. </w:t>
      </w:r>
      <w:r w:rsidR="002A4D1C">
        <w:rPr>
          <w:rFonts w:cs="Times New Roman"/>
        </w:rPr>
        <w:t>Because t</w:t>
      </w:r>
      <w:r w:rsidR="009C7744">
        <w:rPr>
          <w:rFonts w:cs="Times New Roman"/>
        </w:rPr>
        <w:t xml:space="preserve">he majority of the Foundation’s income and resources are restricted by donors </w:t>
      </w:r>
      <w:r w:rsidR="002A4D1C">
        <w:rPr>
          <w:rFonts w:cs="Times New Roman"/>
        </w:rPr>
        <w:t>and may only be used for the benefit of the college or its students, the Foundation is considered a discrete component unit</w:t>
      </w:r>
      <w:r w:rsidR="00831098">
        <w:rPr>
          <w:rFonts w:cs="Times New Roman"/>
        </w:rPr>
        <w:t xml:space="preserve"> based on the criteria contained in Governmental Accounting Standards Board (GASB) Statement No</w:t>
      </w:r>
      <w:r w:rsidR="00B72FA2">
        <w:rPr>
          <w:rFonts w:cs="Times New Roman"/>
        </w:rPr>
        <w:t>s</w:t>
      </w:r>
      <w:r w:rsidR="00831098">
        <w:rPr>
          <w:rFonts w:cs="Times New Roman"/>
        </w:rPr>
        <w:t>. 61</w:t>
      </w:r>
      <w:r w:rsidR="00B72FA2">
        <w:rPr>
          <w:rFonts w:cs="Times New Roman"/>
        </w:rPr>
        <w:t>, 39 and 14</w:t>
      </w:r>
      <w:r w:rsidR="00831098">
        <w:rPr>
          <w:rFonts w:cs="Times New Roman"/>
        </w:rPr>
        <w:t xml:space="preserve">. </w:t>
      </w:r>
      <w:r w:rsidR="002A4D1C">
        <w:rPr>
          <w:rFonts w:cs="Times New Roman"/>
        </w:rPr>
        <w:t xml:space="preserve"> </w:t>
      </w:r>
      <w:r>
        <w:rPr>
          <w:rFonts w:cs="Times New Roman"/>
        </w:rPr>
        <w:t xml:space="preserve">A discrete component unit is an entity which is legally separate from the College, but </w:t>
      </w:r>
      <w:r w:rsidR="00A62D8B">
        <w:rPr>
          <w:rFonts w:cs="Times New Roman"/>
        </w:rPr>
        <w:t xml:space="preserve">has the potential to provide </w:t>
      </w:r>
      <w:r w:rsidR="00742930">
        <w:rPr>
          <w:rFonts w:cs="Times New Roman"/>
        </w:rPr>
        <w:t>significant</w:t>
      </w:r>
      <w:r w:rsidR="00A62D8B">
        <w:rPr>
          <w:rFonts w:cs="Times New Roman"/>
        </w:rPr>
        <w:t xml:space="preserve"> financial benefits to the College </w:t>
      </w:r>
      <w:r>
        <w:rPr>
          <w:rFonts w:cs="Times New Roman"/>
        </w:rPr>
        <w:t>or whose relationship with the College is such that excluding it would cause the College’s financial statements to be misleading or incomplete.</w:t>
      </w:r>
    </w:p>
    <w:p w:rsidR="00D52FBE" w:rsidRDefault="00D52FBE" w:rsidP="005821BE">
      <w:pPr>
        <w:autoSpaceDE w:val="0"/>
        <w:autoSpaceDN w:val="0"/>
        <w:adjustRightInd w:val="0"/>
        <w:rPr>
          <w:rFonts w:cs="Times New Roman"/>
        </w:rPr>
      </w:pPr>
    </w:p>
    <w:p w:rsidR="002E262D" w:rsidRDefault="00D52FBE" w:rsidP="005821BE">
      <w:pPr>
        <w:autoSpaceDE w:val="0"/>
        <w:autoSpaceDN w:val="0"/>
        <w:adjustRightInd w:val="0"/>
        <w:rPr>
          <w:rFonts w:cs="Times New Roman"/>
        </w:rPr>
      </w:pPr>
      <w:r>
        <w:rPr>
          <w:rFonts w:cs="Times New Roman"/>
        </w:rPr>
        <w:t>The Foundation</w:t>
      </w:r>
      <w:r w:rsidR="00E15A88">
        <w:rPr>
          <w:rFonts w:cs="Times New Roman"/>
        </w:rPr>
        <w:t xml:space="preserve">’s financial statements are </w:t>
      </w:r>
      <w:r>
        <w:rPr>
          <w:rFonts w:cs="Times New Roman"/>
        </w:rPr>
        <w:t xml:space="preserve">discretely presented in </w:t>
      </w:r>
      <w:r w:rsidR="00E15A88">
        <w:rPr>
          <w:rFonts w:cs="Times New Roman"/>
        </w:rPr>
        <w:t>this report</w:t>
      </w:r>
      <w:r>
        <w:rPr>
          <w:rFonts w:cs="Times New Roman"/>
        </w:rPr>
        <w:t>.  Intra-entity transactions and balances between the College and the Foundation are not eliminated for financial statement presentation.  During the</w:t>
      </w:r>
      <w:r w:rsidR="00906D9C">
        <w:rPr>
          <w:rFonts w:cs="Times New Roman"/>
        </w:rPr>
        <w:t xml:space="preserve"> fiscal year ended June 30, 2014</w:t>
      </w:r>
      <w:r>
        <w:rPr>
          <w:rFonts w:cs="Times New Roman"/>
        </w:rPr>
        <w:t xml:space="preserve">, the Foundation distributed </w:t>
      </w:r>
      <w:r w:rsidR="00990D7B">
        <w:rPr>
          <w:rFonts w:cs="Times New Roman"/>
        </w:rPr>
        <w:t xml:space="preserve">$268,639.84 </w:t>
      </w:r>
      <w:r w:rsidRPr="00990D7B">
        <w:rPr>
          <w:rFonts w:cs="Times New Roman"/>
        </w:rPr>
        <w:t>to the College</w:t>
      </w:r>
      <w:r>
        <w:rPr>
          <w:rFonts w:cs="Times New Roman"/>
        </w:rPr>
        <w:t xml:space="preserve"> for restricted and unrestricted purposes.  </w:t>
      </w:r>
      <w:r w:rsidR="002E262D">
        <w:rPr>
          <w:rFonts w:cs="Times New Roman"/>
        </w:rPr>
        <w:t xml:space="preserve">A copy of the Foundation’s </w:t>
      </w:r>
      <w:r>
        <w:rPr>
          <w:rFonts w:cs="Times New Roman"/>
        </w:rPr>
        <w:t xml:space="preserve">complete financial statements </w:t>
      </w:r>
      <w:r w:rsidR="002E262D">
        <w:rPr>
          <w:rFonts w:cs="Times New Roman"/>
        </w:rPr>
        <w:t xml:space="preserve">may be obtained from the </w:t>
      </w:r>
      <w:r>
        <w:rPr>
          <w:rFonts w:cs="Times New Roman"/>
        </w:rPr>
        <w:t xml:space="preserve">Foundation’s Administrative Offices at </w:t>
      </w:r>
      <w:r w:rsidR="00927E93">
        <w:rPr>
          <w:rFonts w:cs="Times New Roman"/>
        </w:rPr>
        <w:t>1601 39</w:t>
      </w:r>
      <w:r w:rsidR="00927E93" w:rsidRPr="00927E93">
        <w:rPr>
          <w:rFonts w:cs="Times New Roman"/>
          <w:vertAlign w:val="superscript"/>
        </w:rPr>
        <w:t>th</w:t>
      </w:r>
      <w:r w:rsidR="00927E93">
        <w:rPr>
          <w:rFonts w:cs="Times New Roman"/>
        </w:rPr>
        <w:t xml:space="preserve"> Avenue SE, Puyallup, WA 98374.</w:t>
      </w:r>
    </w:p>
    <w:p w:rsidR="001E0D04" w:rsidRDefault="001E0D04" w:rsidP="005821BE">
      <w:pPr>
        <w:autoSpaceDE w:val="0"/>
        <w:autoSpaceDN w:val="0"/>
        <w:adjustRightInd w:val="0"/>
        <w:rPr>
          <w:rFonts w:cs="Times New Roman"/>
        </w:rPr>
      </w:pPr>
    </w:p>
    <w:p w:rsidR="00113B57" w:rsidRPr="009211A5" w:rsidRDefault="00113B57" w:rsidP="00D0793D">
      <w:pPr>
        <w:rPr>
          <w:b/>
          <w:bCs/>
          <w:color w:val="262626" w:themeColor="text1" w:themeTint="D9"/>
        </w:rPr>
      </w:pPr>
      <w:r w:rsidRPr="009211A5">
        <w:rPr>
          <w:b/>
          <w:bCs/>
          <w:color w:val="262626" w:themeColor="text1" w:themeTint="D9"/>
        </w:rPr>
        <w:t>Basis of Presentation</w:t>
      </w:r>
    </w:p>
    <w:p w:rsidR="00C97F80" w:rsidRDefault="002C1B18" w:rsidP="00D0793D">
      <w:r>
        <w:t xml:space="preserve">The college follows all GASB pronouncements.  </w:t>
      </w:r>
      <w:r w:rsidR="00113B57" w:rsidRPr="00A74F62">
        <w:t xml:space="preserve">The financial statements </w:t>
      </w:r>
      <w:r w:rsidR="00B72FA2">
        <w:t>have been prepared in accordance with GASB</w:t>
      </w:r>
      <w:r w:rsidR="004607A4">
        <w:t xml:space="preserve"> Statement No. 34, </w:t>
      </w:r>
      <w:r w:rsidR="004607A4">
        <w:rPr>
          <w:i/>
        </w:rPr>
        <w:t xml:space="preserve">Basic Financial Statements and Management Discussion and Analysis for State and Local Governments </w:t>
      </w:r>
      <w:r w:rsidR="004607A4" w:rsidRPr="004607A4">
        <w:t>as amended by</w:t>
      </w:r>
      <w:r w:rsidR="004607A4">
        <w:t xml:space="preserve"> GASB Statement No. 35, </w:t>
      </w:r>
      <w:r w:rsidR="004607A4">
        <w:rPr>
          <w:i/>
        </w:rPr>
        <w:t xml:space="preserve">Basic Financial Statements and Management Discussion and Analysis for Public Colleges and Universities.  </w:t>
      </w:r>
      <w:r w:rsidR="00113B57" w:rsidRPr="00A74F62">
        <w:t xml:space="preserve">For financial reporting purposes, the </w:t>
      </w:r>
      <w:r w:rsidR="005746A7">
        <w:t>College</w:t>
      </w:r>
      <w:r w:rsidR="00113B57" w:rsidRPr="00A74F62">
        <w:t xml:space="preserve"> is considered a special-purpose government</w:t>
      </w:r>
      <w:r w:rsidR="00D0793D" w:rsidRPr="00A74F62">
        <w:t xml:space="preserve"> </w:t>
      </w:r>
      <w:r w:rsidR="00113B57" w:rsidRPr="00A74F62">
        <w:t xml:space="preserve">engaged </w:t>
      </w:r>
      <w:r w:rsidR="004607A4">
        <w:t xml:space="preserve">only </w:t>
      </w:r>
      <w:r w:rsidR="00113B57" w:rsidRPr="00A74F62">
        <w:t xml:space="preserve">in Business Type Activities (BTA). </w:t>
      </w:r>
      <w:r w:rsidR="005746A7">
        <w:t xml:space="preserve"> </w:t>
      </w:r>
      <w:r w:rsidR="00113B57" w:rsidRPr="00A74F62">
        <w:t xml:space="preserve">In accordance with BTA reporting, the </w:t>
      </w:r>
      <w:r w:rsidR="003E3F98">
        <w:t>College</w:t>
      </w:r>
      <w:r w:rsidR="00113B57" w:rsidRPr="00A74F62">
        <w:t xml:space="preserve"> presents a Management’s Discussion and Analysis;</w:t>
      </w:r>
      <w:r w:rsidR="00D0793D" w:rsidRPr="00A74F62">
        <w:t xml:space="preserve"> </w:t>
      </w:r>
      <w:r w:rsidR="00113B57" w:rsidRPr="00A74F62">
        <w:t xml:space="preserve">a Statement of Net </w:t>
      </w:r>
      <w:r w:rsidR="005746A7">
        <w:t>Position</w:t>
      </w:r>
      <w:r w:rsidR="00113B57" w:rsidRPr="00A74F62">
        <w:t xml:space="preserve">; a Statement of Revenues, Expenses and Changes in Net </w:t>
      </w:r>
      <w:r w:rsidR="005746A7">
        <w:t>Position</w:t>
      </w:r>
      <w:r w:rsidR="00113B57" w:rsidRPr="00A74F62">
        <w:t>; a Statement of Cash Flows; and Notes to the Financial</w:t>
      </w:r>
      <w:r w:rsidR="00D0793D" w:rsidRPr="00A74F62">
        <w:t xml:space="preserve"> </w:t>
      </w:r>
      <w:r w:rsidR="00113B57" w:rsidRPr="00A74F62">
        <w:t>Statements.</w:t>
      </w:r>
      <w:r w:rsidR="005746A7">
        <w:t xml:space="preserve"> </w:t>
      </w:r>
      <w:r w:rsidR="00113B57" w:rsidRPr="00A74F62">
        <w:t xml:space="preserve"> </w:t>
      </w:r>
      <w:r w:rsidR="004607A4">
        <w:t xml:space="preserve">The format provides a comprehensive, entity-wide perspective of the college’s assets, deferred inflows, liabilities, deferred outflows, net position, revenues, expenses, changes in net position and cash flows.  </w:t>
      </w:r>
    </w:p>
    <w:p w:rsidR="00C97F80" w:rsidRPr="002C1B18" w:rsidRDefault="00C97F80" w:rsidP="00D0793D"/>
    <w:p w:rsidR="00315990" w:rsidRDefault="00B7084B" w:rsidP="00315990">
      <w:pPr>
        <w:rPr>
          <w:b/>
          <w:bCs/>
          <w:color w:val="262626" w:themeColor="text1" w:themeTint="D9"/>
        </w:rPr>
      </w:pPr>
      <w:r w:rsidRPr="009211A5">
        <w:rPr>
          <w:b/>
          <w:bCs/>
          <w:color w:val="262626" w:themeColor="text1" w:themeTint="D9"/>
        </w:rPr>
        <w:t>N</w:t>
      </w:r>
      <w:r w:rsidR="002C1B18" w:rsidRPr="009211A5">
        <w:rPr>
          <w:b/>
          <w:bCs/>
          <w:color w:val="262626" w:themeColor="text1" w:themeTint="D9"/>
        </w:rPr>
        <w:t>ew Accounting Pronouncements</w:t>
      </w:r>
    </w:p>
    <w:p w:rsidR="00315990" w:rsidRPr="0066103F" w:rsidRDefault="0066103F" w:rsidP="00D0793D">
      <w:pPr>
        <w:rPr>
          <w:bCs/>
          <w:color w:val="262626" w:themeColor="text1" w:themeTint="D9"/>
        </w:rPr>
      </w:pPr>
      <w:r>
        <w:rPr>
          <w:bCs/>
          <w:color w:val="262626" w:themeColor="text1" w:themeTint="D9"/>
        </w:rPr>
        <w:t xml:space="preserve">There were no new accounting pronouncements implemented by the College this fiscal year. </w:t>
      </w:r>
    </w:p>
    <w:p w:rsidR="00113B57" w:rsidRPr="009211A5" w:rsidRDefault="00315990" w:rsidP="00D0793D">
      <w:pPr>
        <w:rPr>
          <w:b/>
          <w:bCs/>
          <w:color w:val="262626" w:themeColor="text1" w:themeTint="D9"/>
        </w:rPr>
      </w:pPr>
      <w:r>
        <w:rPr>
          <w:b/>
          <w:bCs/>
          <w:color w:val="262626" w:themeColor="text1" w:themeTint="D9"/>
        </w:rPr>
        <w:br/>
      </w:r>
      <w:r w:rsidR="00113B57" w:rsidRPr="009211A5">
        <w:rPr>
          <w:b/>
          <w:bCs/>
          <w:color w:val="262626" w:themeColor="text1" w:themeTint="D9"/>
        </w:rPr>
        <w:t>Basis of Accounting</w:t>
      </w:r>
    </w:p>
    <w:p w:rsidR="00113B57" w:rsidRDefault="00113B57" w:rsidP="00C36C77">
      <w:r w:rsidRPr="00A74F62">
        <w:t xml:space="preserve">The financial statements of the </w:t>
      </w:r>
      <w:r w:rsidR="005746A7">
        <w:t>College</w:t>
      </w:r>
      <w:r w:rsidRPr="00A74F62">
        <w:t xml:space="preserve"> have been prepared using the economic resources measurement focus and</w:t>
      </w:r>
      <w:r w:rsidR="00C36C77" w:rsidRPr="00A74F62">
        <w:t xml:space="preserve"> </w:t>
      </w:r>
      <w:r w:rsidRPr="00A74F62">
        <w:t xml:space="preserve">the accrual basis of accounting. </w:t>
      </w:r>
      <w:r w:rsidR="005746A7">
        <w:t xml:space="preserve"> </w:t>
      </w:r>
      <w:r w:rsidRPr="00A74F62">
        <w:t>Under the accrual basis, revenues are recognized when earned and expenses are recorded when an obligation</w:t>
      </w:r>
      <w:r w:rsidR="00C36C77" w:rsidRPr="00A74F62">
        <w:t xml:space="preserve"> </w:t>
      </w:r>
      <w:r w:rsidRPr="00A74F62">
        <w:t>has been incurred, regardless of the timing of the cash flows.</w:t>
      </w:r>
    </w:p>
    <w:p w:rsidR="00A74F62" w:rsidRPr="00A74F62" w:rsidRDefault="00A74F62" w:rsidP="00C36C77"/>
    <w:p w:rsidR="00280D65" w:rsidRDefault="00113B57" w:rsidP="00C36C77">
      <w:r w:rsidRPr="00D75E85">
        <w:lastRenderedPageBreak/>
        <w:t xml:space="preserve">Non-exchange transactions, in which the </w:t>
      </w:r>
      <w:r w:rsidR="005746A7">
        <w:t>College</w:t>
      </w:r>
      <w:r w:rsidRPr="00D75E85">
        <w:t xml:space="preserve"> receives (or gives) value without directly giving (or receiving) equal value in exchange</w:t>
      </w:r>
      <w:r w:rsidR="00C36C77" w:rsidRPr="00D75E85">
        <w:t xml:space="preserve"> </w:t>
      </w:r>
      <w:r w:rsidRPr="00D75E85">
        <w:t xml:space="preserve">includes state and federal appropriations, and certain grants and donations. </w:t>
      </w:r>
      <w:r w:rsidR="005746A7">
        <w:t xml:space="preserve"> </w:t>
      </w:r>
      <w:r w:rsidRPr="00D75E85">
        <w:t>Revenues are recognized, net of estimated uncollectible amounts,</w:t>
      </w:r>
      <w:r w:rsidR="00C36C77" w:rsidRPr="00D75E85">
        <w:t xml:space="preserve"> </w:t>
      </w:r>
      <w:r w:rsidRPr="00D75E85">
        <w:t>as soon as all eligibility requirements imposed by the provider have been met, if probable of collection.</w:t>
      </w:r>
      <w:r w:rsidR="00C36C77" w:rsidRPr="00D75E85">
        <w:t xml:space="preserve"> </w:t>
      </w:r>
      <w:r w:rsidR="005746A7">
        <w:t xml:space="preserve"> </w:t>
      </w:r>
    </w:p>
    <w:p w:rsidR="00280D65" w:rsidRDefault="00280D65" w:rsidP="00C36C77"/>
    <w:p w:rsidR="00113B57" w:rsidRDefault="00113B57" w:rsidP="00C36C77">
      <w:r w:rsidRPr="00D75E85">
        <w:t>The preparation of financial statements in conformity with accounting principles generally</w:t>
      </w:r>
      <w:r w:rsidR="00C36C77" w:rsidRPr="00D75E85">
        <w:t xml:space="preserve"> </w:t>
      </w:r>
      <w:r w:rsidRPr="00D75E85">
        <w:t>accepted in the United States of America requires</w:t>
      </w:r>
      <w:r w:rsidR="00C36C77" w:rsidRPr="00D75E85">
        <w:t xml:space="preserve"> </w:t>
      </w:r>
      <w:r w:rsidRPr="00D75E85">
        <w:t>management to make estimates and assumptions that affect the reported amounts of assets and liabilities and disclosure of contingent assets and</w:t>
      </w:r>
      <w:r w:rsidR="00C36C77" w:rsidRPr="00D75E85">
        <w:t xml:space="preserve"> </w:t>
      </w:r>
      <w:r w:rsidRPr="00D75E85">
        <w:t xml:space="preserve">liabilities at the date of the financial statements and the reported amounts of revenue and expenses during the reporting period. </w:t>
      </w:r>
      <w:r w:rsidR="005746A7">
        <w:t xml:space="preserve"> </w:t>
      </w:r>
      <w:r w:rsidRPr="00D75E85">
        <w:t>Actual results</w:t>
      </w:r>
      <w:r w:rsidR="00C36C77" w:rsidRPr="00D75E85">
        <w:t xml:space="preserve"> </w:t>
      </w:r>
      <w:r w:rsidRPr="00D75E85">
        <w:t>could differ from those estimates.</w:t>
      </w:r>
    </w:p>
    <w:p w:rsidR="00D75E85" w:rsidRPr="00D75E85" w:rsidRDefault="00D75E85" w:rsidP="00C36C77"/>
    <w:p w:rsidR="00113B57" w:rsidRPr="009C4DB2" w:rsidRDefault="00113B57" w:rsidP="00A06C0A">
      <w:r w:rsidRPr="009C4DB2">
        <w:t xml:space="preserve">During the course of operations, numerous transactions occur between </w:t>
      </w:r>
      <w:r w:rsidR="00A06C0A">
        <w:t xml:space="preserve">funds for goods provided and </w:t>
      </w:r>
      <w:r w:rsidRPr="009C4DB2">
        <w:t>services rendered.</w:t>
      </w:r>
      <w:r w:rsidR="00C36C77" w:rsidRPr="009C4DB2">
        <w:t xml:space="preserve"> </w:t>
      </w:r>
      <w:r w:rsidR="005746A7">
        <w:t xml:space="preserve"> </w:t>
      </w:r>
      <w:r w:rsidRPr="00330369">
        <w:t xml:space="preserve">For the financial statements, </w:t>
      </w:r>
      <w:proofErr w:type="spellStart"/>
      <w:r w:rsidRPr="00330369">
        <w:t>interfund</w:t>
      </w:r>
      <w:proofErr w:type="spellEnd"/>
      <w:r w:rsidRPr="00330369">
        <w:t xml:space="preserve"> receivables and payables have </w:t>
      </w:r>
      <w:r w:rsidR="00A06C0A">
        <w:t xml:space="preserve">generally </w:t>
      </w:r>
      <w:r w:rsidRPr="00330369">
        <w:t>been eliminated.</w:t>
      </w:r>
      <w:r w:rsidR="00C36C77" w:rsidRPr="00330369">
        <w:t xml:space="preserve"> </w:t>
      </w:r>
      <w:r w:rsidR="005746A7" w:rsidRPr="00330369">
        <w:t xml:space="preserve"> </w:t>
      </w:r>
      <w:r w:rsidR="00A06C0A">
        <w:t xml:space="preserve">However, revenues and expenses from the College’s </w:t>
      </w:r>
      <w:r w:rsidRPr="00A06C0A">
        <w:t xml:space="preserve">auxiliary enterprises are treated as though the </w:t>
      </w:r>
      <w:r w:rsidR="005746A7" w:rsidRPr="00A06C0A">
        <w:t>College</w:t>
      </w:r>
      <w:r w:rsidRPr="00A06C0A">
        <w:t xml:space="preserve"> were dealing with private</w:t>
      </w:r>
      <w:r w:rsidR="00C36C77" w:rsidRPr="00A06C0A">
        <w:t xml:space="preserve"> </w:t>
      </w:r>
      <w:r w:rsidRPr="00A06C0A">
        <w:t>vendors.</w:t>
      </w:r>
      <w:r w:rsidR="005746A7" w:rsidRPr="00A06C0A">
        <w:t xml:space="preserve"> </w:t>
      </w:r>
      <w:r w:rsidRPr="00A06C0A">
        <w:t xml:space="preserve"> For</w:t>
      </w:r>
      <w:r w:rsidRPr="009C4DB2">
        <w:t xml:space="preserve"> all other funds, transactions that are reimbursements of expenses are recorded as reductions of expense.</w:t>
      </w:r>
      <w:r w:rsidR="003B30B6">
        <w:t xml:space="preserve"> </w:t>
      </w:r>
    </w:p>
    <w:p w:rsidR="001E0D04" w:rsidRPr="009211A5" w:rsidRDefault="001E0D04" w:rsidP="00D0793D">
      <w:pPr>
        <w:rPr>
          <w:rFonts w:cs="Times New Roman"/>
          <w:b/>
          <w:bCs/>
          <w:color w:val="262626" w:themeColor="text1" w:themeTint="D9"/>
        </w:rPr>
      </w:pPr>
    </w:p>
    <w:p w:rsidR="00113B57" w:rsidRPr="009211A5" w:rsidRDefault="00113B57" w:rsidP="00D0793D">
      <w:pPr>
        <w:rPr>
          <w:rFonts w:cs="Times New Roman"/>
          <w:b/>
          <w:bCs/>
          <w:color w:val="262626" w:themeColor="text1" w:themeTint="D9"/>
        </w:rPr>
      </w:pPr>
      <w:r w:rsidRPr="009211A5">
        <w:rPr>
          <w:rFonts w:cs="Times New Roman"/>
          <w:b/>
          <w:bCs/>
          <w:color w:val="262626" w:themeColor="text1" w:themeTint="D9"/>
        </w:rPr>
        <w:t>Cash, Cash Equivalents and Investments</w:t>
      </w:r>
    </w:p>
    <w:p w:rsidR="00757343" w:rsidRDefault="00CF02AB" w:rsidP="00757343">
      <w:pPr>
        <w:pStyle w:val="NoSpacing"/>
      </w:pPr>
      <w:r w:rsidRPr="00CF02AB">
        <w:t>Cash and cash equivalents include cash on hand, bank demand deposits, and deposits with the Washington State Local Gov</w:t>
      </w:r>
      <w:r w:rsidR="00FD4355">
        <w:t>ernment Investment Pool (LGIP).</w:t>
      </w:r>
      <w:r w:rsidR="00757343">
        <w:rPr>
          <w:rFonts w:cs="Times New Roman"/>
        </w:rPr>
        <w:t xml:space="preserve"> </w:t>
      </w:r>
      <w:r w:rsidRPr="00CF02AB">
        <w:t xml:space="preserve">Cash and cash equivalents that are held with the intent to fund </w:t>
      </w:r>
      <w:r>
        <w:t>College</w:t>
      </w:r>
      <w:r w:rsidRPr="00CF02AB">
        <w:t xml:space="preserve"> operations are classified as current assets along with operating funds invested in the LGIP. The </w:t>
      </w:r>
      <w:r w:rsidR="00757343">
        <w:t>College</w:t>
      </w:r>
      <w:r w:rsidRPr="00CF02AB">
        <w:t xml:space="preserve"> records all cash, cash equivalent</w:t>
      </w:r>
      <w:r w:rsidR="00166DD8">
        <w:t>s</w:t>
      </w:r>
      <w:r w:rsidRPr="00CF02AB">
        <w:t xml:space="preserve">, and investments </w:t>
      </w:r>
      <w:r w:rsidRPr="00043A88">
        <w:t>at amortized cost, which approximates fair value</w:t>
      </w:r>
      <w:r w:rsidR="000C02F3">
        <w:t xml:space="preserve"> or at fair value. </w:t>
      </w:r>
    </w:p>
    <w:p w:rsidR="00043A88" w:rsidRPr="00757343" w:rsidRDefault="00043A88" w:rsidP="00757343">
      <w:pPr>
        <w:pStyle w:val="NoSpacing"/>
      </w:pPr>
    </w:p>
    <w:p w:rsidR="00651711" w:rsidRPr="00651711" w:rsidRDefault="00CF02AB" w:rsidP="007455CE">
      <w:pPr>
        <w:pStyle w:val="NoSpacing"/>
        <w:rPr>
          <w:sz w:val="16"/>
          <w:szCs w:val="16"/>
        </w:rPr>
      </w:pPr>
      <w:r w:rsidRPr="00CF02AB">
        <w:t xml:space="preserve">The </w:t>
      </w:r>
      <w:r w:rsidR="00757343">
        <w:t>College</w:t>
      </w:r>
      <w:r w:rsidRPr="00CF02AB">
        <w:t xml:space="preserve"> combines unrestricted cash operating funds from all departments into an internal investment pool, the income from which is </w:t>
      </w:r>
      <w:r w:rsidR="007455CE">
        <w:t>allocated for general operating needs of the College. The internal investment pool is comprised of cash, cash equivalents and investments and securities as authorized by RCW 39.60.50.</w:t>
      </w:r>
    </w:p>
    <w:p w:rsidR="00A701AA" w:rsidRDefault="00A701AA" w:rsidP="00D0793D">
      <w:pPr>
        <w:rPr>
          <w:b/>
          <w:bCs/>
        </w:rPr>
      </w:pPr>
    </w:p>
    <w:p w:rsidR="00113B57" w:rsidRPr="009211A5" w:rsidRDefault="00113B57" w:rsidP="00D0793D">
      <w:pPr>
        <w:rPr>
          <w:b/>
          <w:bCs/>
          <w:color w:val="262626" w:themeColor="text1" w:themeTint="D9"/>
        </w:rPr>
      </w:pPr>
      <w:r w:rsidRPr="009211A5">
        <w:rPr>
          <w:b/>
          <w:bCs/>
          <w:color w:val="262626" w:themeColor="text1" w:themeTint="D9"/>
        </w:rPr>
        <w:t>Accounts Receivable</w:t>
      </w:r>
    </w:p>
    <w:p w:rsidR="00113B57" w:rsidRDefault="00113B57" w:rsidP="00D0793D">
      <w:r w:rsidRPr="00290125">
        <w:t>Accounts receivable consists of tuition and fee charges to students and auxiliary enterprise services provided to students, faculty and staff.</w:t>
      </w:r>
      <w:r w:rsidR="00D0793D" w:rsidRPr="00290125">
        <w:t xml:space="preserve"> </w:t>
      </w:r>
      <w:r w:rsidRPr="00290125">
        <w:t xml:space="preserve">This also includes amounts due from federal, state and local governments or private sources </w:t>
      </w:r>
      <w:r w:rsidR="00D43678">
        <w:t xml:space="preserve">as allowed under the terms of </w:t>
      </w:r>
      <w:r w:rsidR="00EA23B7">
        <w:t>grants and contract</w:t>
      </w:r>
      <w:r w:rsidRPr="00290125">
        <w:t>s. Accounts receivable are shown net of estimated</w:t>
      </w:r>
      <w:r w:rsidR="00D0793D" w:rsidRPr="00290125">
        <w:t xml:space="preserve"> </w:t>
      </w:r>
      <w:r w:rsidRPr="00290125">
        <w:t>uncollectible amounts.</w:t>
      </w:r>
    </w:p>
    <w:p w:rsidR="00290125" w:rsidRPr="00290125" w:rsidRDefault="00290125" w:rsidP="001F031A"/>
    <w:p w:rsidR="00113B57" w:rsidRPr="009211A5" w:rsidRDefault="00113B57" w:rsidP="00D0793D">
      <w:pPr>
        <w:rPr>
          <w:b/>
          <w:bCs/>
          <w:color w:val="262626" w:themeColor="text1" w:themeTint="D9"/>
        </w:rPr>
      </w:pPr>
      <w:r w:rsidRPr="009211A5">
        <w:rPr>
          <w:b/>
          <w:bCs/>
          <w:color w:val="262626" w:themeColor="text1" w:themeTint="D9"/>
        </w:rPr>
        <w:t>Capital Assets</w:t>
      </w:r>
    </w:p>
    <w:p w:rsidR="00F1459E" w:rsidRDefault="00F1459E" w:rsidP="008A4BF7">
      <w:r>
        <w:t xml:space="preserve">In accordance with state law, capital assets constructed with state </w:t>
      </w:r>
      <w:r w:rsidR="00880AA5">
        <w:t>funds</w:t>
      </w:r>
      <w:r>
        <w:t xml:space="preserve"> are owned by the State of Washington.  </w:t>
      </w:r>
      <w:r w:rsidR="008A4BF7">
        <w:t>Property t</w:t>
      </w:r>
      <w:r>
        <w:t xml:space="preserve">itles are shown accordingly.  </w:t>
      </w:r>
      <w:r w:rsidR="008A4BF7">
        <w:t xml:space="preserve">However, </w:t>
      </w:r>
      <w:r>
        <w:t>responsibility for managing the assets</w:t>
      </w:r>
      <w:r w:rsidR="007879BC">
        <w:t xml:space="preserve"> rests with the College. </w:t>
      </w:r>
      <w:r w:rsidR="008A4BF7">
        <w:t xml:space="preserve"> As a result, </w:t>
      </w:r>
      <w:r w:rsidR="007879BC">
        <w:t xml:space="preserve">the assets </w:t>
      </w:r>
      <w:r w:rsidR="008A4BF7">
        <w:t xml:space="preserve">are included in the </w:t>
      </w:r>
      <w:r w:rsidR="007879BC">
        <w:t xml:space="preserve">financial statements </w:t>
      </w:r>
      <w:r w:rsidR="008A4BF7">
        <w:t xml:space="preserve">because excluding them </w:t>
      </w:r>
      <w:r w:rsidR="007879BC">
        <w:t xml:space="preserve">would have been misleading to the reader.  </w:t>
      </w:r>
    </w:p>
    <w:p w:rsidR="00F1459E" w:rsidRDefault="00F1459E" w:rsidP="00D0793D"/>
    <w:p w:rsidR="00290125" w:rsidRDefault="00113B57" w:rsidP="00D0793D">
      <w:r w:rsidRPr="00290125">
        <w:t>Land, buildings and equipment are recorded at cost, or if acquired by gift, at fair market value at the date of the gift</w:t>
      </w:r>
      <w:r w:rsidRPr="00FD4355">
        <w:t xml:space="preserve">. </w:t>
      </w:r>
      <w:r w:rsidR="004619C8" w:rsidRPr="00FD4355">
        <w:t xml:space="preserve"> </w:t>
      </w:r>
      <w:r w:rsidR="008A4BF7" w:rsidRPr="00FD4355">
        <w:t>As this is the first institution-level financial statement prepared by the college, GASB 34 guidance concerning preparing initial estimates for historical cost and accumulated depreciation related to infrastructure was followed.  C</w:t>
      </w:r>
      <w:r w:rsidRPr="00FD4355">
        <w:t>apital additions</w:t>
      </w:r>
      <w:r w:rsidRPr="00290125">
        <w:t>,</w:t>
      </w:r>
      <w:r w:rsidR="00D0793D" w:rsidRPr="00290125">
        <w:t xml:space="preserve"> </w:t>
      </w:r>
      <w:r w:rsidRPr="00290125">
        <w:t xml:space="preserve">replacements and major renovations are capitalized. </w:t>
      </w:r>
      <w:r w:rsidR="004619C8">
        <w:t xml:space="preserve"> </w:t>
      </w:r>
      <w:r w:rsidRPr="00290125">
        <w:t>The value of assets constructed includes all material direct</w:t>
      </w:r>
      <w:r w:rsidR="00D0793D" w:rsidRPr="00290125">
        <w:t xml:space="preserve"> </w:t>
      </w:r>
      <w:r w:rsidRPr="00290125">
        <w:t xml:space="preserve">and indirect construction costs. </w:t>
      </w:r>
      <w:r w:rsidR="004619C8">
        <w:t xml:space="preserve"> </w:t>
      </w:r>
      <w:r w:rsidR="004619C8" w:rsidRPr="00497849">
        <w:t>Any i</w:t>
      </w:r>
      <w:r w:rsidRPr="00497849">
        <w:t xml:space="preserve">nterest costs incurred are capitalized during the period of construction. </w:t>
      </w:r>
      <w:r w:rsidR="004619C8" w:rsidRPr="00497849">
        <w:t xml:space="preserve"> </w:t>
      </w:r>
      <w:r w:rsidRPr="00497849">
        <w:t>Routine repai</w:t>
      </w:r>
      <w:r w:rsidRPr="00290125">
        <w:t xml:space="preserve">rs and </w:t>
      </w:r>
      <w:r w:rsidR="00BF4135">
        <w:t xml:space="preserve">maintenance </w:t>
      </w:r>
      <w:r w:rsidRPr="00290125">
        <w:t>are</w:t>
      </w:r>
      <w:r w:rsidR="00D0793D" w:rsidRPr="00290125">
        <w:t xml:space="preserve"> </w:t>
      </w:r>
      <w:r w:rsidRPr="00290125">
        <w:t xml:space="preserve">charged to operating </w:t>
      </w:r>
      <w:r w:rsidRPr="00464634">
        <w:t>expense</w:t>
      </w:r>
      <w:r w:rsidRPr="00290125">
        <w:t xml:space="preserve"> in the year in which the expense was incurred.</w:t>
      </w:r>
      <w:r w:rsidR="00DE75CA">
        <w:t xml:space="preserve"> In accordance with the state capitalization policy, all land, intangible assets and software with a unit cost of $1,000,000 or more, buildings and improvements with a unit cost of $100,000 or more, library collections with a total cost of $5,000 or more and all other assets with a unit cost of $5,000 or more are capitalized.</w:t>
      </w:r>
      <w:r w:rsidR="004619C8">
        <w:t xml:space="preserve"> </w:t>
      </w:r>
      <w:r w:rsidR="00375C52">
        <w:t xml:space="preserve">Depreciation is computed using the straight line method over the estimated useful lives of the assets as defined by the State of Washington’s Office of Financial Management. Useful lives range from 15 to 50 years for buildings and improvements, 3 to 50 years for improvements other </w:t>
      </w:r>
      <w:r w:rsidR="00375C52">
        <w:lastRenderedPageBreak/>
        <w:t xml:space="preserve">than buildings, </w:t>
      </w:r>
      <w:r w:rsidR="00DE75CA">
        <w:t xml:space="preserve">5 to </w:t>
      </w:r>
      <w:r w:rsidR="00375C52">
        <w:t>7 years for library resources, 2 to 10 years for most equipment, and 11 to 40 years for heavy duty equipment, aircraft, locomotives, and vessels.</w:t>
      </w:r>
    </w:p>
    <w:p w:rsidR="00375C52" w:rsidRPr="00290125" w:rsidRDefault="00375C52" w:rsidP="00D0793D"/>
    <w:p w:rsidR="00113B57" w:rsidRDefault="00113B57" w:rsidP="00D0793D">
      <w:r w:rsidRPr="00290125">
        <w:t xml:space="preserve">In accordance with GASB Statement 42, the </w:t>
      </w:r>
      <w:r w:rsidR="004619C8">
        <w:t>college</w:t>
      </w:r>
      <w:r w:rsidRPr="00290125">
        <w:t xml:space="preserve"> reviews assets for impairment whenever events or changes in circumstances have indicated</w:t>
      </w:r>
      <w:r w:rsidR="00D0793D" w:rsidRPr="00290125">
        <w:t xml:space="preserve"> </w:t>
      </w:r>
      <w:r w:rsidRPr="00290125">
        <w:t>that the carrying amount of its assets might not be recoverable.</w:t>
      </w:r>
      <w:r w:rsidR="00BD2757">
        <w:t xml:space="preserve"> </w:t>
      </w:r>
      <w:r w:rsidRPr="00290125">
        <w:t xml:space="preserve"> Impaired assets are reported at the lower of cost or fair value. </w:t>
      </w:r>
      <w:r w:rsidR="00BD2757">
        <w:t xml:space="preserve"> </w:t>
      </w:r>
      <w:r w:rsidRPr="00290125">
        <w:t>At June 30, 201</w:t>
      </w:r>
      <w:r w:rsidR="0043136B">
        <w:t>4</w:t>
      </w:r>
      <w:r w:rsidRPr="00290125">
        <w:t>,</w:t>
      </w:r>
      <w:r w:rsidR="00D0793D" w:rsidRPr="00290125">
        <w:t xml:space="preserve"> </w:t>
      </w:r>
      <w:r w:rsidRPr="00FD4355">
        <w:t>no assets had been written down.</w:t>
      </w:r>
    </w:p>
    <w:p w:rsidR="003D30A8" w:rsidRDefault="003D30A8" w:rsidP="00D0793D">
      <w:pPr>
        <w:rPr>
          <w:b/>
          <w:bCs/>
        </w:rPr>
      </w:pPr>
    </w:p>
    <w:p w:rsidR="00113B57" w:rsidRPr="009211A5" w:rsidRDefault="000D3733" w:rsidP="00D0793D">
      <w:pPr>
        <w:rPr>
          <w:b/>
          <w:bCs/>
          <w:color w:val="262626" w:themeColor="text1" w:themeTint="D9"/>
        </w:rPr>
      </w:pPr>
      <w:r w:rsidRPr="009211A5">
        <w:rPr>
          <w:b/>
          <w:bCs/>
          <w:color w:val="262626" w:themeColor="text1" w:themeTint="D9"/>
        </w:rPr>
        <w:t xml:space="preserve">Unearned </w:t>
      </w:r>
      <w:r w:rsidR="00113B57" w:rsidRPr="009211A5">
        <w:rPr>
          <w:b/>
          <w:bCs/>
          <w:color w:val="262626" w:themeColor="text1" w:themeTint="D9"/>
        </w:rPr>
        <w:t>Revenues</w:t>
      </w:r>
    </w:p>
    <w:p w:rsidR="00290125" w:rsidRDefault="000D3733" w:rsidP="00D0793D">
      <w:r>
        <w:t>Unearned</w:t>
      </w:r>
      <w:r w:rsidR="00113B57" w:rsidRPr="00290125">
        <w:t xml:space="preserve"> revenues occur when funds have been collected </w:t>
      </w:r>
      <w:r w:rsidR="00D51A4A" w:rsidRPr="00290125">
        <w:t>prior to the end of the fiscal year but related to the subsequent fiscal year.</w:t>
      </w:r>
      <w:r w:rsidR="00D51A4A">
        <w:t xml:space="preserve">  </w:t>
      </w:r>
      <w:r w:rsidR="00C52AE7">
        <w:t>The College has recorded</w:t>
      </w:r>
      <w:r w:rsidR="00113B57" w:rsidRPr="00290125">
        <w:t xml:space="preserve"> </w:t>
      </w:r>
      <w:r w:rsidR="00113B57" w:rsidRPr="00880AA5">
        <w:t xml:space="preserve">summer </w:t>
      </w:r>
      <w:r w:rsidR="003D30A8">
        <w:t xml:space="preserve">and fall </w:t>
      </w:r>
      <w:r w:rsidR="00FA14A5" w:rsidRPr="00880AA5">
        <w:t xml:space="preserve">quarter </w:t>
      </w:r>
      <w:r w:rsidR="00113B57" w:rsidRPr="00880AA5">
        <w:t>tuition</w:t>
      </w:r>
      <w:r w:rsidR="008A5EC7" w:rsidRPr="00880AA5">
        <w:t xml:space="preserve"> </w:t>
      </w:r>
      <w:r w:rsidR="00C52AE7">
        <w:t>and fees</w:t>
      </w:r>
      <w:r w:rsidR="008A5EC7" w:rsidRPr="00880AA5">
        <w:t>,</w:t>
      </w:r>
      <w:r w:rsidR="00113B57" w:rsidRPr="00880AA5">
        <w:t xml:space="preserve"> </w:t>
      </w:r>
      <w:r w:rsidR="00F54EDD">
        <w:t xml:space="preserve">and rental </w:t>
      </w:r>
      <w:r w:rsidR="00F54EDD" w:rsidRPr="00F54EDD">
        <w:t xml:space="preserve">deposits as </w:t>
      </w:r>
      <w:r w:rsidR="00C52AE7" w:rsidRPr="00F54EDD">
        <w:t>unearned revenues.</w:t>
      </w:r>
    </w:p>
    <w:p w:rsidR="00C52AE7" w:rsidRDefault="00C52AE7" w:rsidP="00D0793D">
      <w:pPr>
        <w:rPr>
          <w:sz w:val="16"/>
          <w:szCs w:val="16"/>
          <w:highlight w:val="lightGray"/>
        </w:rPr>
      </w:pPr>
    </w:p>
    <w:p w:rsidR="00113B57" w:rsidRPr="009211A5" w:rsidRDefault="00113B57" w:rsidP="00D0793D">
      <w:pPr>
        <w:rPr>
          <w:b/>
          <w:bCs/>
          <w:color w:val="262626" w:themeColor="text1" w:themeTint="D9"/>
        </w:rPr>
      </w:pPr>
      <w:r w:rsidRPr="009211A5">
        <w:rPr>
          <w:b/>
          <w:bCs/>
          <w:color w:val="262626" w:themeColor="text1" w:themeTint="D9"/>
        </w:rPr>
        <w:t>Tax Exemption</w:t>
      </w:r>
    </w:p>
    <w:p w:rsidR="00290125" w:rsidRPr="00290125" w:rsidRDefault="00113B57" w:rsidP="00D0793D">
      <w:r w:rsidRPr="00290125">
        <w:t xml:space="preserve">The </w:t>
      </w:r>
      <w:r w:rsidR="000D3733">
        <w:t>College</w:t>
      </w:r>
      <w:r w:rsidRPr="00290125">
        <w:t xml:space="preserve"> is a tax-exempt organization under</w:t>
      </w:r>
      <w:r w:rsidR="00A507B8">
        <w:t xml:space="preserve"> the provisions of Section 115</w:t>
      </w:r>
      <w:r w:rsidR="00747F40">
        <w:t xml:space="preserve"> </w:t>
      </w:r>
      <w:r w:rsidR="00A507B8">
        <w:t>(1</w:t>
      </w:r>
      <w:r w:rsidRPr="00290125">
        <w:t>) of the Internal Revenue Code and is exempt from federal</w:t>
      </w:r>
      <w:r w:rsidR="00D0793D" w:rsidRPr="00290125">
        <w:t xml:space="preserve"> </w:t>
      </w:r>
      <w:r w:rsidRPr="00290125">
        <w:t>income taxes on related income.</w:t>
      </w:r>
    </w:p>
    <w:p w:rsidR="00F54EDD" w:rsidRDefault="00F54EDD" w:rsidP="00D0793D">
      <w:pPr>
        <w:rPr>
          <w:b/>
          <w:bCs/>
        </w:rPr>
      </w:pPr>
    </w:p>
    <w:p w:rsidR="00113B57" w:rsidRPr="009211A5" w:rsidRDefault="00113B57" w:rsidP="00D0793D">
      <w:pPr>
        <w:rPr>
          <w:b/>
          <w:bCs/>
          <w:color w:val="262626" w:themeColor="text1" w:themeTint="D9"/>
        </w:rPr>
      </w:pPr>
      <w:r w:rsidRPr="009211A5">
        <w:rPr>
          <w:b/>
          <w:bCs/>
          <w:color w:val="262626" w:themeColor="text1" w:themeTint="D9"/>
        </w:rPr>
        <w:t xml:space="preserve">Net </w:t>
      </w:r>
      <w:r w:rsidR="00DE6270" w:rsidRPr="009211A5">
        <w:rPr>
          <w:b/>
          <w:bCs/>
          <w:color w:val="262626" w:themeColor="text1" w:themeTint="D9"/>
        </w:rPr>
        <w:t>Position</w:t>
      </w:r>
    </w:p>
    <w:p w:rsidR="00113B57" w:rsidRPr="00C156B5" w:rsidRDefault="00113B57" w:rsidP="00C36C77">
      <w:r w:rsidRPr="00C156B5">
        <w:t xml:space="preserve">The </w:t>
      </w:r>
      <w:r w:rsidR="00A72C5F" w:rsidRPr="00C156B5">
        <w:t>College’s</w:t>
      </w:r>
      <w:r w:rsidRPr="00C156B5">
        <w:t xml:space="preserve"> net </w:t>
      </w:r>
      <w:r w:rsidR="00DE6270" w:rsidRPr="00C156B5">
        <w:t>position</w:t>
      </w:r>
      <w:r w:rsidRPr="00C156B5">
        <w:t xml:space="preserve"> </w:t>
      </w:r>
      <w:r w:rsidR="00DE6270" w:rsidRPr="00C156B5">
        <w:t>is</w:t>
      </w:r>
      <w:r w:rsidRPr="00C156B5">
        <w:t xml:space="preserve"> classified as follows.</w:t>
      </w:r>
    </w:p>
    <w:p w:rsidR="00FC3247" w:rsidRDefault="00FC3247" w:rsidP="00FC3247">
      <w:pPr>
        <w:ind w:left="720"/>
        <w:rPr>
          <w:i/>
        </w:rPr>
      </w:pPr>
    </w:p>
    <w:p w:rsidR="00113B57" w:rsidRDefault="00580375" w:rsidP="00FC3247">
      <w:pPr>
        <w:ind w:left="720"/>
      </w:pPr>
      <w:r>
        <w:rPr>
          <w:i/>
        </w:rPr>
        <w:t xml:space="preserve">Net </w:t>
      </w:r>
      <w:r w:rsidR="00113B57" w:rsidRPr="00C156B5">
        <w:rPr>
          <w:i/>
        </w:rPr>
        <w:t>Invest</w:t>
      </w:r>
      <w:r>
        <w:rPr>
          <w:i/>
        </w:rPr>
        <w:t>ment</w:t>
      </w:r>
      <w:r w:rsidR="00113B57" w:rsidRPr="00C156B5">
        <w:rPr>
          <w:i/>
        </w:rPr>
        <w:t xml:space="preserve"> in Capital Assets</w:t>
      </w:r>
      <w:r w:rsidR="00113B57" w:rsidRPr="00C156B5">
        <w:t xml:space="preserve">. This represents the </w:t>
      </w:r>
      <w:r w:rsidR="00A72C5F" w:rsidRPr="00C156B5">
        <w:t xml:space="preserve">College’s </w:t>
      </w:r>
      <w:r w:rsidR="00113B57" w:rsidRPr="00C156B5">
        <w:t>total investment in capital assets, net of outstanding debt</w:t>
      </w:r>
      <w:r w:rsidR="00C36C77" w:rsidRPr="00C156B5">
        <w:t xml:space="preserve"> </w:t>
      </w:r>
      <w:r w:rsidR="00113B57" w:rsidRPr="00C156B5">
        <w:t xml:space="preserve">obligations related to those capital assets. </w:t>
      </w:r>
    </w:p>
    <w:p w:rsidR="00FC3247" w:rsidRPr="00C156B5" w:rsidRDefault="00FC3247" w:rsidP="00FC3247">
      <w:pPr>
        <w:ind w:left="720"/>
      </w:pPr>
    </w:p>
    <w:p w:rsidR="00C614B2" w:rsidRDefault="00C614B2" w:rsidP="00FC3247">
      <w:pPr>
        <w:ind w:left="720"/>
      </w:pPr>
      <w:r>
        <w:rPr>
          <w:i/>
        </w:rPr>
        <w:t xml:space="preserve">Restricted for Institutional Financial Aid. </w:t>
      </w:r>
      <w:r>
        <w:t>The institutional financial aid funds are established for the explicit purpose of providing institutional financial aid as prescribed by RCW 28B.15.820.</w:t>
      </w:r>
    </w:p>
    <w:p w:rsidR="00C614B2" w:rsidRPr="00C614B2" w:rsidRDefault="00C614B2" w:rsidP="00FC3247">
      <w:pPr>
        <w:ind w:left="720"/>
      </w:pPr>
    </w:p>
    <w:p w:rsidR="00113B57" w:rsidRDefault="00113B57" w:rsidP="00FC3247">
      <w:pPr>
        <w:ind w:left="720"/>
      </w:pPr>
      <w:r w:rsidRPr="00290125">
        <w:rPr>
          <w:i/>
        </w:rPr>
        <w:t xml:space="preserve">Restricted </w:t>
      </w:r>
      <w:r w:rsidR="00DE6270">
        <w:rPr>
          <w:i/>
        </w:rPr>
        <w:t xml:space="preserve">for </w:t>
      </w:r>
      <w:r w:rsidRPr="00290125">
        <w:rPr>
          <w:i/>
        </w:rPr>
        <w:t>Loans</w:t>
      </w:r>
      <w:r w:rsidRPr="00290125">
        <w:t>. The loan funds are established for the explicit purpose of providing student support as prescribed by statute or</w:t>
      </w:r>
      <w:r w:rsidR="00C36C77" w:rsidRPr="00290125">
        <w:t xml:space="preserve"> </w:t>
      </w:r>
      <w:r w:rsidRPr="00290125">
        <w:t>granting authority.</w:t>
      </w:r>
      <w:r w:rsidR="00DE6270">
        <w:t xml:space="preserve">  </w:t>
      </w:r>
    </w:p>
    <w:p w:rsidR="00FC3247" w:rsidRPr="00290125" w:rsidRDefault="00FC3247" w:rsidP="00FC3247">
      <w:pPr>
        <w:ind w:left="720"/>
      </w:pPr>
    </w:p>
    <w:p w:rsidR="00113B57" w:rsidRDefault="00113B57" w:rsidP="00FC3247">
      <w:pPr>
        <w:ind w:left="720"/>
      </w:pPr>
      <w:r w:rsidRPr="00290125">
        <w:rPr>
          <w:i/>
        </w:rPr>
        <w:t>Unrestricted</w:t>
      </w:r>
      <w:r w:rsidRPr="00290125">
        <w:t>. These represent resources derived from student tuition and fees, and sales and services of</w:t>
      </w:r>
      <w:r w:rsidR="00C36C77" w:rsidRPr="00290125">
        <w:t xml:space="preserve"> </w:t>
      </w:r>
      <w:r w:rsidRPr="00290125">
        <w:t>educational departments and auxiliary enterprises.</w:t>
      </w:r>
    </w:p>
    <w:p w:rsidR="00AB4A08" w:rsidRDefault="00AB4A08" w:rsidP="00D0793D">
      <w:pPr>
        <w:rPr>
          <w:b/>
          <w:bCs/>
        </w:rPr>
      </w:pPr>
    </w:p>
    <w:p w:rsidR="00113B57" w:rsidRPr="009211A5" w:rsidRDefault="00113B57" w:rsidP="00D0793D">
      <w:pPr>
        <w:rPr>
          <w:b/>
          <w:bCs/>
          <w:color w:val="262626" w:themeColor="text1" w:themeTint="D9"/>
        </w:rPr>
      </w:pPr>
      <w:r w:rsidRPr="009211A5">
        <w:rPr>
          <w:b/>
          <w:bCs/>
          <w:color w:val="262626" w:themeColor="text1" w:themeTint="D9"/>
        </w:rPr>
        <w:t>Classification of Revenues</w:t>
      </w:r>
    </w:p>
    <w:p w:rsidR="00113B57" w:rsidRDefault="00113B57" w:rsidP="00C36C77">
      <w:r w:rsidRPr="00C1416A">
        <w:t xml:space="preserve">The </w:t>
      </w:r>
      <w:r w:rsidR="00A72C5F">
        <w:t xml:space="preserve">College </w:t>
      </w:r>
      <w:r w:rsidRPr="00C1416A">
        <w:t>has classified its revenues as either operating or non-operating revenues according to the following criteria:</w:t>
      </w:r>
    </w:p>
    <w:p w:rsidR="00C1416A" w:rsidRPr="00C1416A" w:rsidRDefault="00C1416A" w:rsidP="00C36C77"/>
    <w:p w:rsidR="00113B57" w:rsidRDefault="00113B57" w:rsidP="00B478C1">
      <w:pPr>
        <w:ind w:left="720"/>
      </w:pPr>
      <w:r w:rsidRPr="00C1416A">
        <w:rPr>
          <w:i/>
        </w:rPr>
        <w:t>Operating Revenues</w:t>
      </w:r>
      <w:r w:rsidRPr="00C1416A">
        <w:t xml:space="preserve">. This includes activities that have the characteristics of exchange transactions such as (1) </w:t>
      </w:r>
      <w:r w:rsidRPr="0088612B">
        <w:t>student tuition and fees, net of</w:t>
      </w:r>
      <w:r w:rsidR="00C36C77" w:rsidRPr="0088612B">
        <w:t xml:space="preserve"> </w:t>
      </w:r>
      <w:r w:rsidR="0088612B">
        <w:t xml:space="preserve">waivers and </w:t>
      </w:r>
      <w:r w:rsidRPr="0088612B">
        <w:t>scholarship discounts and allowances, (2)</w:t>
      </w:r>
      <w:r w:rsidRPr="00C1416A">
        <w:t xml:space="preserve"> sales and services of auxiliary enterprises and (3) most federal, state and local grants and contracts.</w:t>
      </w:r>
    </w:p>
    <w:p w:rsidR="00C1416A" w:rsidRPr="00C1416A" w:rsidRDefault="00C1416A" w:rsidP="00C36C77"/>
    <w:p w:rsidR="00113B57" w:rsidRDefault="00113B57" w:rsidP="00B478C1">
      <w:pPr>
        <w:ind w:left="720"/>
      </w:pPr>
      <w:r w:rsidRPr="00C1416A">
        <w:rPr>
          <w:i/>
        </w:rPr>
        <w:t>Non-operating Revenues</w:t>
      </w:r>
      <w:r w:rsidRPr="00C1416A">
        <w:t>. This includes activities that have the characteristics of non-exchange transactions, such as gifts and contributions, state</w:t>
      </w:r>
      <w:r w:rsidR="00C36C77" w:rsidRPr="00C1416A">
        <w:t xml:space="preserve"> </w:t>
      </w:r>
      <w:r w:rsidRPr="00C1416A">
        <w:t>appropriations and investment income.</w:t>
      </w:r>
    </w:p>
    <w:p w:rsidR="00A81CFC" w:rsidRPr="00A81CFC" w:rsidRDefault="00A81CFC" w:rsidP="00D0793D">
      <w:pPr>
        <w:rPr>
          <w:rFonts w:cs="Times New Roman"/>
        </w:rPr>
      </w:pPr>
    </w:p>
    <w:p w:rsidR="00A81CFC" w:rsidRPr="009211A5" w:rsidRDefault="00A81CFC" w:rsidP="00A81CFC">
      <w:pPr>
        <w:autoSpaceDE w:val="0"/>
        <w:autoSpaceDN w:val="0"/>
        <w:adjustRightInd w:val="0"/>
        <w:rPr>
          <w:rFonts w:cs="Times New Roman"/>
          <w:b/>
          <w:color w:val="262626" w:themeColor="text1" w:themeTint="D9"/>
        </w:rPr>
      </w:pPr>
      <w:r w:rsidRPr="009211A5">
        <w:rPr>
          <w:rFonts w:cs="Times New Roman"/>
          <w:b/>
          <w:color w:val="262626" w:themeColor="text1" w:themeTint="D9"/>
        </w:rPr>
        <w:t>Scholarship Discounts and Allowances</w:t>
      </w:r>
    </w:p>
    <w:p w:rsidR="00A81CFC" w:rsidRPr="00A81CFC" w:rsidRDefault="00A81CFC" w:rsidP="00A81CFC">
      <w:pPr>
        <w:autoSpaceDE w:val="0"/>
        <w:autoSpaceDN w:val="0"/>
        <w:adjustRightInd w:val="0"/>
        <w:rPr>
          <w:rFonts w:cs="Times New Roman"/>
        </w:rPr>
      </w:pPr>
      <w:r w:rsidRPr="00A81CFC">
        <w:rPr>
          <w:rFonts w:cs="Times New Roman"/>
        </w:rPr>
        <w:t>Student tuition and fee revenues, and certain other revenues from students, are reported net of</w:t>
      </w:r>
    </w:p>
    <w:p w:rsidR="00A81CFC" w:rsidRPr="00A81CFC" w:rsidRDefault="00A81CFC" w:rsidP="00A81CFC">
      <w:pPr>
        <w:autoSpaceDE w:val="0"/>
        <w:autoSpaceDN w:val="0"/>
        <w:adjustRightInd w:val="0"/>
        <w:rPr>
          <w:rFonts w:cs="Times New Roman"/>
        </w:rPr>
      </w:pPr>
      <w:proofErr w:type="gramStart"/>
      <w:r w:rsidRPr="00A81CFC">
        <w:rPr>
          <w:rFonts w:cs="Times New Roman"/>
        </w:rPr>
        <w:t>scholarship</w:t>
      </w:r>
      <w:proofErr w:type="gramEnd"/>
      <w:r w:rsidRPr="00A81CFC">
        <w:rPr>
          <w:rFonts w:cs="Times New Roman"/>
        </w:rPr>
        <w:t xml:space="preserve"> discounts and allowances in the Statements of Revenues, Expenses and Changes in</w:t>
      </w:r>
    </w:p>
    <w:p w:rsidR="0066103F" w:rsidRPr="00E04F7E" w:rsidRDefault="00A81CFC" w:rsidP="00E04F7E">
      <w:r w:rsidRPr="00A81CFC">
        <w:rPr>
          <w:rFonts w:cs="Times New Roman"/>
        </w:rPr>
        <w:t>Net Position.  Scholarship discounts and allowances are the difference between the stated charge for</w:t>
      </w:r>
      <w:r>
        <w:rPr>
          <w:rFonts w:cs="Times New Roman"/>
        </w:rPr>
        <w:t xml:space="preserve"> </w:t>
      </w:r>
      <w:r w:rsidRPr="00A81CFC">
        <w:rPr>
          <w:rFonts w:cs="Times New Roman"/>
        </w:rPr>
        <w:t>goods and services provided by the College, and the amount that is paid by students and/or third parties</w:t>
      </w:r>
      <w:r>
        <w:rPr>
          <w:rFonts w:cs="Times New Roman"/>
        </w:rPr>
        <w:t xml:space="preserve"> </w:t>
      </w:r>
      <w:r w:rsidRPr="00A81CFC">
        <w:rPr>
          <w:rFonts w:cs="Times New Roman"/>
        </w:rPr>
        <w:t>making payments on the students’ behalf.  Certain governmental grants, such as Pell grants, and other</w:t>
      </w:r>
      <w:r>
        <w:rPr>
          <w:rFonts w:cs="Times New Roman"/>
        </w:rPr>
        <w:t xml:space="preserve"> </w:t>
      </w:r>
      <w:r w:rsidRPr="00A81CFC">
        <w:rPr>
          <w:rFonts w:cs="Times New Roman"/>
        </w:rPr>
        <w:t>Federal, State or non-governmental programs are recorded as either operating or non-operating</w:t>
      </w:r>
      <w:r>
        <w:rPr>
          <w:rFonts w:cs="Times New Roman"/>
        </w:rPr>
        <w:t xml:space="preserve"> </w:t>
      </w:r>
      <w:r w:rsidRPr="00A81CFC">
        <w:rPr>
          <w:rFonts w:cs="Times New Roman"/>
        </w:rPr>
        <w:t>revenues in the College’s financial statements.  To the extent that revenues from such programs are</w:t>
      </w:r>
      <w:r>
        <w:rPr>
          <w:rFonts w:cs="Times New Roman"/>
        </w:rPr>
        <w:t xml:space="preserve"> </w:t>
      </w:r>
      <w:r w:rsidRPr="00A81CFC">
        <w:rPr>
          <w:rFonts w:cs="Times New Roman"/>
        </w:rPr>
        <w:t>used to satisfy tuition and fees and other student charges, the College has recorded a scholarship</w:t>
      </w:r>
      <w:r>
        <w:rPr>
          <w:rFonts w:cs="Times New Roman"/>
        </w:rPr>
        <w:t xml:space="preserve"> </w:t>
      </w:r>
      <w:r w:rsidRPr="00A81CFC">
        <w:rPr>
          <w:rFonts w:cs="Times New Roman"/>
        </w:rPr>
        <w:t xml:space="preserve">discount and allowance. </w:t>
      </w:r>
      <w:r w:rsidRPr="00C1416A">
        <w:t>Discounts and allowances f</w:t>
      </w:r>
      <w:r w:rsidR="00900D8C">
        <w:t>or the year ending June 30, 2014</w:t>
      </w:r>
      <w:r>
        <w:t xml:space="preserve"> </w:t>
      </w:r>
      <w:r w:rsidRPr="004E2971">
        <w:t>are $</w:t>
      </w:r>
      <w:r w:rsidR="00875924">
        <w:t>6,926,926</w:t>
      </w:r>
      <w:r w:rsidRPr="004E2971">
        <w:t>.</w:t>
      </w:r>
    </w:p>
    <w:p w:rsidR="00A81CFC" w:rsidRPr="009211A5" w:rsidRDefault="00A81CFC" w:rsidP="00A81CFC">
      <w:pPr>
        <w:autoSpaceDE w:val="0"/>
        <w:autoSpaceDN w:val="0"/>
        <w:adjustRightInd w:val="0"/>
        <w:rPr>
          <w:rFonts w:cs="Times New Roman"/>
          <w:b/>
          <w:color w:val="262626" w:themeColor="text1" w:themeTint="D9"/>
        </w:rPr>
      </w:pPr>
      <w:r w:rsidRPr="009211A5">
        <w:rPr>
          <w:rFonts w:cs="Times New Roman"/>
          <w:b/>
          <w:color w:val="262626" w:themeColor="text1" w:themeTint="D9"/>
        </w:rPr>
        <w:lastRenderedPageBreak/>
        <w:t>State Appropriations</w:t>
      </w:r>
    </w:p>
    <w:p w:rsidR="007949EA" w:rsidRDefault="00A81CFC" w:rsidP="00A81CFC">
      <w:pPr>
        <w:autoSpaceDE w:val="0"/>
        <w:autoSpaceDN w:val="0"/>
        <w:adjustRightInd w:val="0"/>
        <w:rPr>
          <w:rFonts w:cs="Times New Roman"/>
        </w:rPr>
      </w:pPr>
      <w:r w:rsidRPr="00A81CFC">
        <w:rPr>
          <w:rFonts w:cs="Times New Roman"/>
        </w:rPr>
        <w:t xml:space="preserve">The state of Washington appropriates funds to the College on both an annual and biennial basis. These revenues are reported as non-operating revenues on the Statements of Revenues, Expenses, and Changes in Net </w:t>
      </w:r>
      <w:r>
        <w:rPr>
          <w:rFonts w:cs="Times New Roman"/>
        </w:rPr>
        <w:t>Position</w:t>
      </w:r>
      <w:r w:rsidRPr="00A81CFC">
        <w:rPr>
          <w:rFonts w:cs="Times New Roman"/>
        </w:rPr>
        <w:t xml:space="preserve">, and recognized as such when the related expenses are incurred.  </w:t>
      </w:r>
    </w:p>
    <w:p w:rsidR="007949EA" w:rsidRDefault="007949EA" w:rsidP="00A81CFC">
      <w:pPr>
        <w:autoSpaceDE w:val="0"/>
        <w:autoSpaceDN w:val="0"/>
        <w:adjustRightInd w:val="0"/>
        <w:rPr>
          <w:rFonts w:cs="Times New Roman"/>
        </w:rPr>
      </w:pPr>
    </w:p>
    <w:p w:rsidR="007949EA" w:rsidRPr="009211A5" w:rsidRDefault="00A81CFC" w:rsidP="00A81CFC">
      <w:pPr>
        <w:autoSpaceDE w:val="0"/>
        <w:autoSpaceDN w:val="0"/>
        <w:adjustRightInd w:val="0"/>
        <w:rPr>
          <w:rFonts w:cs="Times New Roman"/>
          <w:b/>
          <w:color w:val="262626" w:themeColor="text1" w:themeTint="D9"/>
        </w:rPr>
      </w:pPr>
      <w:r w:rsidRPr="009211A5">
        <w:rPr>
          <w:rFonts w:cs="Times New Roman"/>
          <w:b/>
          <w:color w:val="262626" w:themeColor="text1" w:themeTint="D9"/>
        </w:rPr>
        <w:t xml:space="preserve">Operating </w:t>
      </w:r>
      <w:r w:rsidR="003D30A8" w:rsidRPr="009211A5">
        <w:rPr>
          <w:rFonts w:cs="Times New Roman"/>
          <w:b/>
          <w:color w:val="262626" w:themeColor="text1" w:themeTint="D9"/>
        </w:rPr>
        <w:t>Revenues/</w:t>
      </w:r>
      <w:r w:rsidRPr="009211A5">
        <w:rPr>
          <w:rFonts w:cs="Times New Roman"/>
          <w:b/>
          <w:color w:val="262626" w:themeColor="text1" w:themeTint="D9"/>
        </w:rPr>
        <w:t xml:space="preserve">Expenses </w:t>
      </w:r>
    </w:p>
    <w:p w:rsidR="00A81CFC" w:rsidRPr="00A81CFC" w:rsidRDefault="003D30A8" w:rsidP="00A81CFC">
      <w:pPr>
        <w:autoSpaceDE w:val="0"/>
        <w:autoSpaceDN w:val="0"/>
        <w:adjustRightInd w:val="0"/>
        <w:rPr>
          <w:rFonts w:cs="Times New Roman"/>
        </w:rPr>
      </w:pPr>
      <w:r>
        <w:rPr>
          <w:rFonts w:cs="Times New Roman"/>
        </w:rPr>
        <w:t xml:space="preserve">Operating revenues consist of tuition and fees, grants and contracts, sales and service of educational activities and auxiliary enterprise revenues. </w:t>
      </w:r>
      <w:r w:rsidR="00A81CFC" w:rsidRPr="00A81CFC">
        <w:rPr>
          <w:rFonts w:cs="Times New Roman"/>
        </w:rPr>
        <w:t>Operating expenses include salaries, wages, fringe benefits, utilities, supplies and materials, purchased services, and depreciation. All other revenue and expenses of the College are reported as non</w:t>
      </w:r>
      <w:r w:rsidR="0066103F">
        <w:rPr>
          <w:rFonts w:cs="Times New Roman"/>
        </w:rPr>
        <w:t>-</w:t>
      </w:r>
      <w:r w:rsidR="00A81CFC" w:rsidRPr="00A81CFC">
        <w:rPr>
          <w:rFonts w:cs="Times New Roman"/>
        </w:rPr>
        <w:t>operating revenues and expenses including state general appropriations, Federal Pell grant revenues, investment income and interest expense.</w:t>
      </w:r>
    </w:p>
    <w:p w:rsidR="00D62F6D" w:rsidRDefault="00D62F6D" w:rsidP="005351F6">
      <w:pPr>
        <w:rPr>
          <w:b/>
        </w:rPr>
      </w:pPr>
    </w:p>
    <w:p w:rsidR="00113B57" w:rsidRPr="00A701AA" w:rsidRDefault="00113B57" w:rsidP="005351F6">
      <w:pPr>
        <w:rPr>
          <w:b/>
          <w:color w:val="632423" w:themeColor="accent2" w:themeShade="80"/>
        </w:rPr>
      </w:pPr>
      <w:r w:rsidRPr="00A701AA">
        <w:rPr>
          <w:b/>
          <w:color w:val="632423" w:themeColor="accent2" w:themeShade="80"/>
        </w:rPr>
        <w:t>2. Cash</w:t>
      </w:r>
      <w:r w:rsidR="003A3484">
        <w:rPr>
          <w:b/>
          <w:color w:val="632423" w:themeColor="accent2" w:themeShade="80"/>
        </w:rPr>
        <w:t>, Cash Equivalents</w:t>
      </w:r>
      <w:r w:rsidRPr="00A701AA">
        <w:rPr>
          <w:b/>
          <w:color w:val="632423" w:themeColor="accent2" w:themeShade="80"/>
        </w:rPr>
        <w:t xml:space="preserve"> and Investments</w:t>
      </w:r>
    </w:p>
    <w:p w:rsidR="00972310" w:rsidRDefault="006C4437" w:rsidP="008E464F">
      <w:pPr>
        <w:autoSpaceDE w:val="0"/>
        <w:autoSpaceDN w:val="0"/>
        <w:adjustRightInd w:val="0"/>
      </w:pPr>
      <w:r w:rsidRPr="006C4437">
        <w:rPr>
          <w:rFonts w:cs="Times New Roman"/>
        </w:rPr>
        <w:t>Cash and cash equivalents include bank demand</w:t>
      </w:r>
      <w:r>
        <w:rPr>
          <w:rFonts w:cs="Times New Roman"/>
        </w:rPr>
        <w:t xml:space="preserve"> </w:t>
      </w:r>
      <w:r w:rsidRPr="006C4437">
        <w:rPr>
          <w:rFonts w:cs="Times New Roman"/>
        </w:rPr>
        <w:t>deposits</w:t>
      </w:r>
      <w:r w:rsidR="00A81CFC">
        <w:rPr>
          <w:rFonts w:cs="Times New Roman"/>
        </w:rPr>
        <w:t xml:space="preserve">, </w:t>
      </w:r>
      <w:r w:rsidRPr="006C4437">
        <w:rPr>
          <w:rFonts w:cs="Times New Roman"/>
        </w:rPr>
        <w:t>petty cash</w:t>
      </w:r>
      <w:r>
        <w:rPr>
          <w:rFonts w:cs="Times New Roman"/>
        </w:rPr>
        <w:t xml:space="preserve"> </w:t>
      </w:r>
      <w:r w:rsidRPr="006C4437">
        <w:rPr>
          <w:rFonts w:cs="Times New Roman"/>
        </w:rPr>
        <w:t>held at the College and unit shares in the Local</w:t>
      </w:r>
      <w:r>
        <w:rPr>
          <w:rFonts w:cs="Times New Roman"/>
        </w:rPr>
        <w:t xml:space="preserve"> </w:t>
      </w:r>
      <w:r w:rsidRPr="006C4437">
        <w:rPr>
          <w:rFonts w:cs="Times New Roman"/>
        </w:rPr>
        <w:t>Government Investment Pool</w:t>
      </w:r>
      <w:r w:rsidR="00A81CFC">
        <w:rPr>
          <w:rFonts w:cs="Times New Roman"/>
        </w:rPr>
        <w:t xml:space="preserve"> (LGIP)</w:t>
      </w:r>
      <w:r w:rsidRPr="006C4437">
        <w:rPr>
          <w:rFonts w:cs="Times New Roman"/>
        </w:rPr>
        <w:t xml:space="preserve">. </w:t>
      </w:r>
      <w:r>
        <w:rPr>
          <w:rFonts w:cs="Times New Roman"/>
        </w:rPr>
        <w:t xml:space="preserve"> </w:t>
      </w:r>
      <w:r w:rsidR="00972310">
        <w:t xml:space="preserve">The LGIP is comparable to a Rule 2a-7 money market fund recognized by the Securities and Exchange Commission (17 CFR 270.2a-7).  Rule 2a-7 funds are limited to high quality obligations with limited maximum and average maturities, the effect of which is to minimize both the market and credit risk.  The LGIP is an unrated investment pool.  </w:t>
      </w:r>
    </w:p>
    <w:p w:rsidR="00972310" w:rsidRDefault="00972310" w:rsidP="006C4437"/>
    <w:p w:rsidR="006C4437" w:rsidRDefault="006C4437" w:rsidP="006C4437">
      <w:r w:rsidRPr="00C13603">
        <w:t>As of June 30, 201</w:t>
      </w:r>
      <w:r w:rsidR="00900D8C">
        <w:t>4</w:t>
      </w:r>
      <w:r w:rsidRPr="00C13603">
        <w:t xml:space="preserve">, the carrying amount of the </w:t>
      </w:r>
      <w:r>
        <w:t>College</w:t>
      </w:r>
      <w:r w:rsidRPr="00C13603">
        <w:t xml:space="preserve">’s cash and </w:t>
      </w:r>
      <w:r w:rsidR="0034350A">
        <w:t xml:space="preserve">equivalents </w:t>
      </w:r>
      <w:r w:rsidRPr="0027424E">
        <w:t>was $</w:t>
      </w:r>
      <w:r w:rsidR="0027424E" w:rsidRPr="0027424E">
        <w:t>1</w:t>
      </w:r>
      <w:r w:rsidR="0062759D">
        <w:t>2,403,644</w:t>
      </w:r>
      <w:r>
        <w:t xml:space="preserve"> </w:t>
      </w:r>
      <w:r w:rsidRPr="00C13603">
        <w:t>as represented in the table below.</w:t>
      </w:r>
    </w:p>
    <w:p w:rsidR="006C4437" w:rsidRDefault="006C4437" w:rsidP="006C4437"/>
    <w:bookmarkStart w:id="13" w:name="_MON_1445080400"/>
    <w:bookmarkEnd w:id="13"/>
    <w:p w:rsidR="006C4437" w:rsidRDefault="0062759D" w:rsidP="006C4437">
      <w:r>
        <w:object w:dxaOrig="6901" w:dyaOrig="1515">
          <v:shape id="_x0000_i1031" type="#_x0000_t75" style="width:345pt;height:75.6pt" o:ole="">
            <v:imagedata r:id="rId32" o:title=""/>
          </v:shape>
          <o:OLEObject Type="Embed" ProgID="Excel.Sheet.12" ShapeID="_x0000_i1031" DrawAspect="Content" ObjectID="_1494923881" r:id="rId33"/>
        </w:object>
      </w:r>
    </w:p>
    <w:p w:rsidR="006C4437" w:rsidRDefault="006C4437" w:rsidP="006C4437">
      <w:pPr>
        <w:autoSpaceDE w:val="0"/>
        <w:autoSpaceDN w:val="0"/>
        <w:adjustRightInd w:val="0"/>
        <w:rPr>
          <w:rFonts w:cs="Times New Roman"/>
        </w:rPr>
      </w:pPr>
    </w:p>
    <w:p w:rsidR="00972310" w:rsidRDefault="003D30A8" w:rsidP="006C4437">
      <w:pPr>
        <w:autoSpaceDE w:val="0"/>
        <w:autoSpaceDN w:val="0"/>
        <w:adjustRightInd w:val="0"/>
        <w:rPr>
          <w:rFonts w:cs="Times New Roman"/>
        </w:rPr>
      </w:pPr>
      <w:r>
        <w:rPr>
          <w:rFonts w:cs="Times New Roman"/>
        </w:rPr>
        <w:t xml:space="preserve">Investments are stated at Fair Value. They </w:t>
      </w:r>
      <w:r w:rsidR="006C4437" w:rsidRPr="006C4437">
        <w:rPr>
          <w:rFonts w:cs="Times New Roman"/>
        </w:rPr>
        <w:t>consist of</w:t>
      </w:r>
      <w:r w:rsidR="008E464F">
        <w:rPr>
          <w:rFonts w:cs="Times New Roman"/>
        </w:rPr>
        <w:t xml:space="preserve"> </w:t>
      </w:r>
      <w:r w:rsidR="00BD6D49">
        <w:rPr>
          <w:rFonts w:cs="Times New Roman"/>
        </w:rPr>
        <w:t xml:space="preserve">Agency Securities held with Key Bank </w:t>
      </w:r>
      <w:r w:rsidR="00BD6D49" w:rsidRPr="000A6336">
        <w:rPr>
          <w:rFonts w:cs="Times New Roman"/>
        </w:rPr>
        <w:t xml:space="preserve">and U.S. Treasuries, </w:t>
      </w:r>
      <w:r w:rsidR="00820B3E" w:rsidRPr="000A6336">
        <w:rPr>
          <w:rFonts w:cs="Times New Roman"/>
        </w:rPr>
        <w:t xml:space="preserve">Agency </w:t>
      </w:r>
      <w:r w:rsidR="00BD6D49" w:rsidRPr="000A6336">
        <w:rPr>
          <w:rFonts w:cs="Times New Roman"/>
        </w:rPr>
        <w:t>S</w:t>
      </w:r>
      <w:r w:rsidR="008E464F" w:rsidRPr="000A6336">
        <w:rPr>
          <w:rFonts w:cs="Times New Roman"/>
        </w:rPr>
        <w:t>ecurities</w:t>
      </w:r>
      <w:r w:rsidR="00BD6D49" w:rsidRPr="000A6336">
        <w:rPr>
          <w:rFonts w:cs="Times New Roman"/>
        </w:rPr>
        <w:t>,</w:t>
      </w:r>
      <w:r w:rsidR="00820B3E" w:rsidRPr="000A6336">
        <w:rPr>
          <w:rFonts w:cs="Times New Roman"/>
        </w:rPr>
        <w:t xml:space="preserve"> </w:t>
      </w:r>
      <w:r w:rsidR="00BD6D49" w:rsidRPr="000A6336">
        <w:rPr>
          <w:rFonts w:cs="Times New Roman"/>
        </w:rPr>
        <w:t>Mortgage Pools, and CMO and Asset Backed Securities held with Charles Schwab.</w:t>
      </w:r>
      <w:r w:rsidR="00BD6D49">
        <w:rPr>
          <w:rFonts w:cs="Times New Roman"/>
        </w:rPr>
        <w:t xml:space="preserve"> </w:t>
      </w:r>
    </w:p>
    <w:p w:rsidR="00820B3E" w:rsidRDefault="00820B3E" w:rsidP="006C4437">
      <w:pPr>
        <w:autoSpaceDE w:val="0"/>
        <w:autoSpaceDN w:val="0"/>
        <w:adjustRightInd w:val="0"/>
        <w:rPr>
          <w:rFonts w:cs="Times New Roman"/>
        </w:rPr>
      </w:pPr>
    </w:p>
    <w:bookmarkStart w:id="14" w:name="_MON_1445083510"/>
    <w:bookmarkEnd w:id="14"/>
    <w:p w:rsidR="00553F24" w:rsidRDefault="003A3484" w:rsidP="00972310">
      <w:r>
        <w:object w:dxaOrig="11358" w:dyaOrig="2029">
          <v:shape id="_x0000_i1032" type="#_x0000_t75" style="width:563.4pt;height:105pt" o:ole="">
            <v:imagedata r:id="rId34" o:title=""/>
          </v:shape>
          <o:OLEObject Type="Embed" ProgID="Excel.Sheet.12" ShapeID="_x0000_i1032" DrawAspect="Content" ObjectID="_1494923882" r:id="rId35"/>
        </w:object>
      </w:r>
    </w:p>
    <w:p w:rsidR="00163C5D" w:rsidRDefault="00163C5D" w:rsidP="00972310">
      <w:r>
        <w:t xml:space="preserve">As of June 30, 2014 the balance of </w:t>
      </w:r>
      <w:r w:rsidR="00553F24">
        <w:t xml:space="preserve">Short-term </w:t>
      </w:r>
      <w:r>
        <w:t xml:space="preserve">and Long-term </w:t>
      </w:r>
      <w:r w:rsidR="00553F24">
        <w:t xml:space="preserve">investments </w:t>
      </w:r>
      <w:r>
        <w:t xml:space="preserve">were as follows: </w:t>
      </w:r>
    </w:p>
    <w:p w:rsidR="00163C5D" w:rsidRDefault="00163C5D" w:rsidP="00972310"/>
    <w:p w:rsidR="00163C5D" w:rsidRDefault="00163C5D" w:rsidP="00163C5D">
      <w:pPr>
        <w:ind w:firstLine="720"/>
      </w:pPr>
      <w:r>
        <w:t xml:space="preserve">Short-term investments </w:t>
      </w:r>
      <w:r w:rsidR="00713444">
        <w:t>$3,481,340.28</w:t>
      </w:r>
      <w:r>
        <w:t xml:space="preserve"> </w:t>
      </w:r>
    </w:p>
    <w:p w:rsidR="00553F24" w:rsidRDefault="00163C5D" w:rsidP="00163C5D">
      <w:pPr>
        <w:ind w:firstLine="720"/>
      </w:pPr>
      <w:r>
        <w:t>Long</w:t>
      </w:r>
      <w:r w:rsidR="00713444">
        <w:t>-Term investments $17,224,362.15</w:t>
      </w:r>
      <w:r>
        <w:t>.</w:t>
      </w:r>
    </w:p>
    <w:p w:rsidR="00443542" w:rsidRPr="00C13603" w:rsidRDefault="00443542" w:rsidP="005351F6"/>
    <w:p w:rsidR="00113B57" w:rsidRPr="009211A5" w:rsidRDefault="00113B57" w:rsidP="005351F6">
      <w:pPr>
        <w:rPr>
          <w:b/>
          <w:bCs/>
          <w:color w:val="262626" w:themeColor="text1" w:themeTint="D9"/>
        </w:rPr>
      </w:pPr>
      <w:r w:rsidRPr="009211A5">
        <w:rPr>
          <w:b/>
          <w:bCs/>
          <w:color w:val="262626" w:themeColor="text1" w:themeTint="D9"/>
        </w:rPr>
        <w:t>Custodial Credit Risks—Deposits</w:t>
      </w:r>
    </w:p>
    <w:p w:rsidR="00E647C8" w:rsidRDefault="00113B57" w:rsidP="005351F6">
      <w:r w:rsidRPr="00C13603">
        <w:t xml:space="preserve">Custodial credit risk for bank demand deposits is the risk that in the event of a bank failure, the </w:t>
      </w:r>
      <w:r w:rsidR="00D20364">
        <w:t>College</w:t>
      </w:r>
      <w:r w:rsidRPr="00C13603">
        <w:t>’s deposits may not be returned to it.</w:t>
      </w:r>
      <w:r w:rsidR="005351F6" w:rsidRPr="00C13603">
        <w:t xml:space="preserve"> </w:t>
      </w:r>
      <w:r w:rsidR="008E464F" w:rsidRPr="00C13603">
        <w:t xml:space="preserve">The majority of the </w:t>
      </w:r>
      <w:r w:rsidR="008E464F">
        <w:t>College</w:t>
      </w:r>
      <w:r w:rsidR="008E464F" w:rsidRPr="00C13603">
        <w:t xml:space="preserve">’s demand deposits are with </w:t>
      </w:r>
      <w:r w:rsidR="008E464F" w:rsidRPr="003358DE">
        <w:t xml:space="preserve">the </w:t>
      </w:r>
      <w:r w:rsidR="003358DE" w:rsidRPr="003358DE">
        <w:t>Key Bank</w:t>
      </w:r>
      <w:r w:rsidR="008E464F" w:rsidRPr="00C13603">
        <w:t>.</w:t>
      </w:r>
      <w:r w:rsidR="008E464F">
        <w:t xml:space="preserve">  </w:t>
      </w:r>
      <w:r w:rsidRPr="00C13603">
        <w:t>All cash</w:t>
      </w:r>
      <w:r w:rsidR="008E464F">
        <w:t xml:space="preserve"> and </w:t>
      </w:r>
      <w:r w:rsidR="00806BDA">
        <w:t>equivalents</w:t>
      </w:r>
      <w:r w:rsidRPr="00C13603">
        <w:t xml:space="preserve">, except for change funds and petty cash held by the </w:t>
      </w:r>
      <w:r w:rsidR="00D20364">
        <w:t>College</w:t>
      </w:r>
      <w:r w:rsidRPr="00C13603">
        <w:t xml:space="preserve">, </w:t>
      </w:r>
      <w:r w:rsidR="008E464F">
        <w:t>are</w:t>
      </w:r>
      <w:r w:rsidRPr="00C13603">
        <w:t xml:space="preserve"> insured by the Federal Deposit Insurance Corporation (FDIC) or by</w:t>
      </w:r>
      <w:r w:rsidR="005351F6" w:rsidRPr="00C13603">
        <w:t xml:space="preserve"> </w:t>
      </w:r>
      <w:r w:rsidRPr="00C13603">
        <w:t>collateral held by the Washington Public Deposi</w:t>
      </w:r>
      <w:r w:rsidR="008E464F">
        <w:t>t Protection Commission (PDPC).</w:t>
      </w:r>
    </w:p>
    <w:p w:rsidR="00E647C8" w:rsidRPr="00C13603" w:rsidRDefault="00E647C8" w:rsidP="005351F6"/>
    <w:p w:rsidR="00113B57" w:rsidRPr="009211A5" w:rsidRDefault="00113B57" w:rsidP="005351F6">
      <w:pPr>
        <w:rPr>
          <w:b/>
          <w:bCs/>
          <w:color w:val="262626" w:themeColor="text1" w:themeTint="D9"/>
        </w:rPr>
      </w:pPr>
      <w:r w:rsidRPr="009211A5">
        <w:rPr>
          <w:b/>
          <w:bCs/>
          <w:color w:val="262626" w:themeColor="text1" w:themeTint="D9"/>
        </w:rPr>
        <w:t>Interest Rate Risk—Investments</w:t>
      </w:r>
    </w:p>
    <w:p w:rsidR="00806BDA" w:rsidRPr="003249B3" w:rsidRDefault="003D30A8" w:rsidP="005351F6">
      <w:r w:rsidRPr="003249B3">
        <w:t>T</w:t>
      </w:r>
      <w:r w:rsidR="00113B57" w:rsidRPr="003249B3">
        <w:t xml:space="preserve">he </w:t>
      </w:r>
      <w:r w:rsidR="00D20364" w:rsidRPr="003249B3">
        <w:t>College</w:t>
      </w:r>
      <w:r w:rsidR="00113B57" w:rsidRPr="003249B3">
        <w:t xml:space="preserve"> manages exposure to fair value losses arising from increasing interest rates by segment</w:t>
      </w:r>
      <w:r w:rsidR="00C715B1" w:rsidRPr="003249B3">
        <w:t xml:space="preserve">ing investments </w:t>
      </w:r>
      <w:r w:rsidR="00113B57" w:rsidRPr="003249B3">
        <w:t xml:space="preserve">into short-term, intermediate-term and long-term pools. </w:t>
      </w:r>
    </w:p>
    <w:p w:rsidR="003D30A8" w:rsidRDefault="003D30A8" w:rsidP="005351F6">
      <w:pPr>
        <w:rPr>
          <w:highlight w:val="yellow"/>
        </w:rPr>
      </w:pPr>
    </w:p>
    <w:p w:rsidR="00113B57" w:rsidRPr="009211A5" w:rsidRDefault="00113B57" w:rsidP="005351F6">
      <w:pPr>
        <w:rPr>
          <w:b/>
          <w:bCs/>
          <w:color w:val="262626" w:themeColor="text1" w:themeTint="D9"/>
        </w:rPr>
      </w:pPr>
      <w:r w:rsidRPr="009211A5">
        <w:rPr>
          <w:b/>
          <w:bCs/>
          <w:color w:val="262626" w:themeColor="text1" w:themeTint="D9"/>
        </w:rPr>
        <w:t>Concentration of Credit Risk—Investments</w:t>
      </w:r>
    </w:p>
    <w:p w:rsidR="00113B57" w:rsidRDefault="00113B57" w:rsidP="005351F6">
      <w:r w:rsidRPr="00C13603">
        <w:t xml:space="preserve">State law limits </w:t>
      </w:r>
      <w:r w:rsidR="00D20364">
        <w:t>College</w:t>
      </w:r>
      <w:r w:rsidRPr="00C13603">
        <w:t xml:space="preserve"> operating investments to the highest quality sectors of the domestic fixed income market and specifically excludes</w:t>
      </w:r>
      <w:r w:rsidR="005351F6" w:rsidRPr="00C13603">
        <w:t xml:space="preserve"> </w:t>
      </w:r>
      <w:r w:rsidRPr="00C13603">
        <w:t>corporate stocks, corporate and foreign bonds, futures contracts, commodities, real estate, limited partnerships and negotiable certificates of</w:t>
      </w:r>
      <w:r w:rsidR="005351F6" w:rsidRPr="00C13603">
        <w:t xml:space="preserve"> </w:t>
      </w:r>
      <w:r w:rsidRPr="00C13603">
        <w:t xml:space="preserve">deposit. </w:t>
      </w:r>
      <w:r w:rsidR="00D20364">
        <w:t>College</w:t>
      </w:r>
      <w:r w:rsidRPr="00C13603">
        <w:t xml:space="preserve"> policy does not limit the amount the </w:t>
      </w:r>
      <w:r w:rsidR="00D20364">
        <w:t>College</w:t>
      </w:r>
      <w:r w:rsidRPr="00C13603">
        <w:t xml:space="preserve"> may invest in any one issuer.</w:t>
      </w:r>
    </w:p>
    <w:p w:rsidR="00E647C8" w:rsidRPr="00C13603" w:rsidRDefault="00E647C8" w:rsidP="005351F6"/>
    <w:p w:rsidR="00113B57" w:rsidRPr="009211A5" w:rsidRDefault="00113B57" w:rsidP="005351F6">
      <w:pPr>
        <w:rPr>
          <w:b/>
          <w:bCs/>
          <w:color w:val="262626" w:themeColor="text1" w:themeTint="D9"/>
        </w:rPr>
      </w:pPr>
      <w:r w:rsidRPr="009211A5">
        <w:rPr>
          <w:b/>
          <w:bCs/>
          <w:color w:val="262626" w:themeColor="text1" w:themeTint="D9"/>
        </w:rPr>
        <w:t>Custodial Credit Risk—Investments</w:t>
      </w:r>
    </w:p>
    <w:p w:rsidR="00113B57" w:rsidRDefault="00113B57" w:rsidP="005351F6">
      <w:r w:rsidRPr="00781118">
        <w:t xml:space="preserve">Custodial credit risk for investments is the risk that in the event of the failure of the counterparty to a transaction, the </w:t>
      </w:r>
      <w:r w:rsidR="00D20364">
        <w:t>College</w:t>
      </w:r>
      <w:r w:rsidRPr="00781118">
        <w:t xml:space="preserve"> will not be able</w:t>
      </w:r>
      <w:r w:rsidR="005351F6" w:rsidRPr="00781118">
        <w:t xml:space="preserve"> </w:t>
      </w:r>
      <w:r w:rsidRPr="00781118">
        <w:t>to recover the value of investment or collateral securities that are in the possession of an</w:t>
      </w:r>
      <w:r w:rsidR="00781118" w:rsidRPr="00781118">
        <w:t xml:space="preserve"> outside party. At June 30, 201</w:t>
      </w:r>
      <w:r w:rsidR="00900D8C">
        <w:t>4</w:t>
      </w:r>
      <w:r w:rsidR="00781118" w:rsidRPr="00D87429">
        <w:t>, $</w:t>
      </w:r>
      <w:r w:rsidR="00713444">
        <w:t>20,705,702</w:t>
      </w:r>
      <w:r w:rsidR="00806BDA">
        <w:t xml:space="preserve"> </w:t>
      </w:r>
      <w:r w:rsidRPr="00781118">
        <w:t>of the</w:t>
      </w:r>
      <w:r w:rsidR="005351F6" w:rsidRPr="00781118">
        <w:t xml:space="preserve"> </w:t>
      </w:r>
      <w:r w:rsidR="00D20364">
        <w:t>College</w:t>
      </w:r>
      <w:r w:rsidRPr="00781118">
        <w:t xml:space="preserve">’s operating fund investments, held by </w:t>
      </w:r>
      <w:r w:rsidR="00D87429">
        <w:t xml:space="preserve">Key Banc and Charles Schwab </w:t>
      </w:r>
      <w:r w:rsidRPr="00D87429">
        <w:t>as agent for</w:t>
      </w:r>
      <w:r w:rsidR="00781118" w:rsidRPr="00D87429">
        <w:t xml:space="preserve"> the </w:t>
      </w:r>
      <w:r w:rsidR="00D20364" w:rsidRPr="00D87429">
        <w:t>College</w:t>
      </w:r>
      <w:r w:rsidRPr="00781118">
        <w:t xml:space="preserve"> are exposed to custodial credit risk as follows.</w:t>
      </w:r>
    </w:p>
    <w:p w:rsidR="00C76FD9" w:rsidRDefault="00C76FD9" w:rsidP="005351F6"/>
    <w:bookmarkStart w:id="15" w:name="_MON_1445088859"/>
    <w:bookmarkEnd w:id="15"/>
    <w:p w:rsidR="00C76FD9" w:rsidRDefault="00713444" w:rsidP="005351F6">
      <w:r>
        <w:object w:dxaOrig="7305" w:dyaOrig="1225">
          <v:shape id="_x0000_i1033" type="#_x0000_t75" style="width:365.4pt;height:61.2pt" o:ole="">
            <v:imagedata r:id="rId36" o:title=""/>
          </v:shape>
          <o:OLEObject Type="Embed" ProgID="Excel.Sheet.12" ShapeID="_x0000_i1033" DrawAspect="Content" ObjectID="_1494923883" r:id="rId37"/>
        </w:object>
      </w:r>
    </w:p>
    <w:p w:rsidR="00E647C8" w:rsidRPr="00781118" w:rsidRDefault="00E647C8" w:rsidP="005351F6"/>
    <w:p w:rsidR="00113B57" w:rsidRPr="009211A5" w:rsidRDefault="00113B57" w:rsidP="005351F6">
      <w:pPr>
        <w:rPr>
          <w:b/>
          <w:bCs/>
          <w:color w:val="262626" w:themeColor="text1" w:themeTint="D9"/>
        </w:rPr>
      </w:pPr>
      <w:r w:rsidRPr="009211A5">
        <w:rPr>
          <w:b/>
          <w:bCs/>
          <w:color w:val="262626" w:themeColor="text1" w:themeTint="D9"/>
        </w:rPr>
        <w:t>Investment Expenses</w:t>
      </w:r>
    </w:p>
    <w:p w:rsidR="00113B57" w:rsidRDefault="00113B57" w:rsidP="005351F6">
      <w:r w:rsidRPr="005B2C5A">
        <w:t xml:space="preserve">Under implementation of GASB 35, investment income for the </w:t>
      </w:r>
      <w:r w:rsidR="00D20364" w:rsidRPr="005B2C5A">
        <w:t>College</w:t>
      </w:r>
      <w:r w:rsidRPr="005B2C5A">
        <w:t xml:space="preserve"> is shown net of investment expenses. The investment expenses incurred</w:t>
      </w:r>
      <w:r w:rsidR="005351F6" w:rsidRPr="005B2C5A">
        <w:t xml:space="preserve"> </w:t>
      </w:r>
      <w:r w:rsidRPr="005B2C5A">
        <w:t>for the</w:t>
      </w:r>
      <w:r w:rsidR="00781118" w:rsidRPr="005B2C5A">
        <w:t xml:space="preserve"> fiscal year ended June 30, 201</w:t>
      </w:r>
      <w:r w:rsidR="00900D8C" w:rsidRPr="005B2C5A">
        <w:t>4</w:t>
      </w:r>
      <w:r w:rsidR="00781118" w:rsidRPr="005B2C5A">
        <w:t xml:space="preserve"> were $</w:t>
      </w:r>
      <w:r w:rsidR="003358DE" w:rsidRPr="005B2C5A">
        <w:t>61,840.89</w:t>
      </w:r>
      <w:r w:rsidRPr="005B2C5A">
        <w:t>.</w:t>
      </w:r>
    </w:p>
    <w:p w:rsidR="00113B57" w:rsidRDefault="00113B57" w:rsidP="005351F6">
      <w:pPr>
        <w:rPr>
          <w:highlight w:val="yellow"/>
        </w:rPr>
      </w:pPr>
    </w:p>
    <w:p w:rsidR="003249B3" w:rsidRPr="00C13603" w:rsidRDefault="003249B3" w:rsidP="005351F6">
      <w:pPr>
        <w:rPr>
          <w:highlight w:val="yellow"/>
        </w:rPr>
      </w:pPr>
    </w:p>
    <w:p w:rsidR="00113B57" w:rsidRPr="00A701AA" w:rsidRDefault="00113B57" w:rsidP="005351F6">
      <w:pPr>
        <w:rPr>
          <w:b/>
          <w:color w:val="632423" w:themeColor="accent2" w:themeShade="80"/>
        </w:rPr>
      </w:pPr>
      <w:r w:rsidRPr="00A701AA">
        <w:rPr>
          <w:b/>
          <w:color w:val="632423" w:themeColor="accent2" w:themeShade="80"/>
        </w:rPr>
        <w:t>3. Accounts Receivable</w:t>
      </w:r>
    </w:p>
    <w:p w:rsidR="00113B57" w:rsidRDefault="001309E5" w:rsidP="005351F6">
      <w:r>
        <w:t xml:space="preserve">Accounts receivable consists of tuition and fee charges to students and auxiliary enterprise services provided to students, faculty and staff.  It also includes amounts due from federal, state and local governments or private sources in connection with reimbursements of allowable expenditures made according to sponsored agreements. </w:t>
      </w:r>
      <w:r w:rsidR="00742405">
        <w:t>At June 30, 201</w:t>
      </w:r>
      <w:r w:rsidR="00900D8C">
        <w:t>4</w:t>
      </w:r>
      <w:r w:rsidR="00113B57" w:rsidRPr="00742405">
        <w:t>, accounts receivable were as follows.</w:t>
      </w:r>
    </w:p>
    <w:p w:rsidR="00AF1BF9" w:rsidRDefault="00AF1BF9" w:rsidP="005351F6"/>
    <w:bookmarkStart w:id="16" w:name="_MON_1445089418"/>
    <w:bookmarkEnd w:id="16"/>
    <w:p w:rsidR="00AF1BF9" w:rsidRDefault="001B58B2" w:rsidP="005351F6">
      <w:r>
        <w:object w:dxaOrig="6742" w:dyaOrig="3563">
          <v:shape id="_x0000_i1034" type="#_x0000_t75" style="width:336.6pt;height:177.6pt" o:ole="">
            <v:imagedata r:id="rId38" o:title=""/>
          </v:shape>
          <o:OLEObject Type="Embed" ProgID="Excel.Sheet.12" ShapeID="_x0000_i1034" DrawAspect="Content" ObjectID="_1494923884" r:id="rId39"/>
        </w:object>
      </w:r>
    </w:p>
    <w:p w:rsidR="007C31F2" w:rsidRDefault="007C31F2" w:rsidP="005351F6">
      <w:pPr>
        <w:rPr>
          <w:b/>
          <w:bCs/>
        </w:rPr>
      </w:pPr>
    </w:p>
    <w:p w:rsidR="000072BB" w:rsidRDefault="000072BB" w:rsidP="005351F6">
      <w:pPr>
        <w:rPr>
          <w:b/>
          <w:bCs/>
          <w:color w:val="632423" w:themeColor="accent2" w:themeShade="80"/>
        </w:rPr>
      </w:pPr>
    </w:p>
    <w:p w:rsidR="00E04F7E" w:rsidRDefault="00E04F7E" w:rsidP="005351F6">
      <w:pPr>
        <w:rPr>
          <w:b/>
          <w:bCs/>
          <w:color w:val="632423" w:themeColor="accent2" w:themeShade="80"/>
        </w:rPr>
      </w:pPr>
    </w:p>
    <w:p w:rsidR="00E04F7E" w:rsidRDefault="00E04F7E" w:rsidP="005351F6">
      <w:pPr>
        <w:rPr>
          <w:b/>
          <w:bCs/>
          <w:color w:val="632423" w:themeColor="accent2" w:themeShade="80"/>
        </w:rPr>
      </w:pPr>
    </w:p>
    <w:p w:rsidR="00E04F7E" w:rsidRDefault="00E04F7E" w:rsidP="005351F6">
      <w:pPr>
        <w:rPr>
          <w:b/>
          <w:bCs/>
          <w:color w:val="632423" w:themeColor="accent2" w:themeShade="80"/>
        </w:rPr>
      </w:pPr>
    </w:p>
    <w:p w:rsidR="00113B57" w:rsidRPr="00A701AA" w:rsidRDefault="00113B57" w:rsidP="005351F6">
      <w:pPr>
        <w:rPr>
          <w:b/>
          <w:bCs/>
          <w:color w:val="632423" w:themeColor="accent2" w:themeShade="80"/>
        </w:rPr>
      </w:pPr>
      <w:r w:rsidRPr="00A701AA">
        <w:rPr>
          <w:b/>
          <w:bCs/>
          <w:color w:val="632423" w:themeColor="accent2" w:themeShade="80"/>
        </w:rPr>
        <w:lastRenderedPageBreak/>
        <w:t>4. Loans Receivable</w:t>
      </w:r>
    </w:p>
    <w:p w:rsidR="00113B57" w:rsidRDefault="00113B57" w:rsidP="005351F6">
      <w:r w:rsidRPr="00236531">
        <w:t xml:space="preserve">Loans receivable </w:t>
      </w:r>
      <w:r w:rsidR="00236531" w:rsidRPr="00236531">
        <w:t>as of June 30, 201</w:t>
      </w:r>
      <w:r w:rsidR="00900D8C">
        <w:t>4</w:t>
      </w:r>
      <w:r w:rsidR="001309E5">
        <w:t xml:space="preserve"> consisted primarily of student loans, as follows</w:t>
      </w:r>
      <w:r w:rsidRPr="00236531">
        <w:t>.</w:t>
      </w:r>
      <w:r w:rsidR="001309E5">
        <w:t xml:space="preserve"> </w:t>
      </w:r>
      <w:r w:rsidR="005351F6" w:rsidRPr="00236531">
        <w:t xml:space="preserve"> </w:t>
      </w:r>
    </w:p>
    <w:p w:rsidR="001309E5" w:rsidRDefault="001309E5" w:rsidP="005351F6"/>
    <w:bookmarkStart w:id="17" w:name="_MON_1445089773"/>
    <w:bookmarkEnd w:id="17"/>
    <w:p w:rsidR="001309E5" w:rsidRPr="00236531" w:rsidRDefault="000072BB" w:rsidP="005351F6">
      <w:r>
        <w:object w:dxaOrig="6869" w:dyaOrig="1820">
          <v:shape id="_x0000_i1035" type="#_x0000_t75" style="width:342.6pt;height:96.6pt" o:ole="">
            <v:imagedata r:id="rId40" o:title=""/>
          </v:shape>
          <o:OLEObject Type="Embed" ProgID="Excel.Sheet.12" ShapeID="_x0000_i1035" DrawAspect="Content" ObjectID="_1494923885" r:id="rId41"/>
        </w:object>
      </w:r>
    </w:p>
    <w:p w:rsidR="00D87046" w:rsidRPr="00C13603" w:rsidRDefault="00D87046" w:rsidP="005351F6">
      <w:pPr>
        <w:rPr>
          <w:highlight w:val="yellow"/>
        </w:rPr>
      </w:pPr>
    </w:p>
    <w:p w:rsidR="00113B57" w:rsidRPr="00A701AA" w:rsidRDefault="000072BB" w:rsidP="005351F6">
      <w:pPr>
        <w:rPr>
          <w:b/>
          <w:bCs/>
          <w:color w:val="632423" w:themeColor="accent2" w:themeShade="80"/>
        </w:rPr>
      </w:pPr>
      <w:r>
        <w:rPr>
          <w:b/>
          <w:bCs/>
          <w:color w:val="632423" w:themeColor="accent2" w:themeShade="80"/>
        </w:rPr>
        <w:t>5</w:t>
      </w:r>
      <w:r w:rsidR="00113B57" w:rsidRPr="00A701AA">
        <w:rPr>
          <w:b/>
          <w:bCs/>
          <w:color w:val="632423" w:themeColor="accent2" w:themeShade="80"/>
        </w:rPr>
        <w:t>. Capital Assets</w:t>
      </w:r>
    </w:p>
    <w:p w:rsidR="006403BF" w:rsidRDefault="00113B57" w:rsidP="005351F6">
      <w:r w:rsidRPr="00A9597F">
        <w:t xml:space="preserve">A summary of the changes in capital assets </w:t>
      </w:r>
      <w:r w:rsidR="00A9597F" w:rsidRPr="00A9597F">
        <w:t>for the year ended June 30, 201</w:t>
      </w:r>
      <w:r w:rsidR="00900D8C">
        <w:t>4</w:t>
      </w:r>
      <w:r w:rsidRPr="00A9597F">
        <w:t xml:space="preserve"> is presented as follows.</w:t>
      </w:r>
      <w:r w:rsidR="00472802">
        <w:t xml:space="preserve">  </w:t>
      </w:r>
      <w:r w:rsidRPr="00A9597F">
        <w:t>The current year depr</w:t>
      </w:r>
      <w:r w:rsidR="00A9597F" w:rsidRPr="00A9597F">
        <w:t xml:space="preserve">eciation expense </w:t>
      </w:r>
      <w:r w:rsidR="00A9597F" w:rsidRPr="00C958DA">
        <w:t>was $</w:t>
      </w:r>
      <w:r w:rsidR="00C958DA" w:rsidRPr="00C958DA">
        <w:t>5</w:t>
      </w:r>
      <w:r w:rsidR="00C958DA">
        <w:t>,072,433.93</w:t>
      </w:r>
      <w:r w:rsidRPr="00A9597F">
        <w:t>.</w:t>
      </w:r>
    </w:p>
    <w:p w:rsidR="006403BF" w:rsidRDefault="006403BF" w:rsidP="005351F6"/>
    <w:bookmarkStart w:id="18" w:name="_MON_1445090732"/>
    <w:bookmarkEnd w:id="18"/>
    <w:p w:rsidR="00472802" w:rsidRPr="00472802" w:rsidRDefault="00EC7050" w:rsidP="005351F6">
      <w:r>
        <w:object w:dxaOrig="10490" w:dyaOrig="6727">
          <v:shape id="_x0000_i1036" type="#_x0000_t75" style="width:525pt;height:336.6pt" o:ole="">
            <v:imagedata r:id="rId42" o:title=""/>
          </v:shape>
          <o:OLEObject Type="Embed" ProgID="Excel.Sheet.12" ShapeID="_x0000_i1036" DrawAspect="Content" ObjectID="_1494923886" r:id="rId43"/>
        </w:object>
      </w:r>
    </w:p>
    <w:p w:rsidR="00472802" w:rsidRPr="00472802" w:rsidRDefault="00472802" w:rsidP="005351F6"/>
    <w:p w:rsidR="003249B3" w:rsidRDefault="003249B3" w:rsidP="005351F6">
      <w:pPr>
        <w:rPr>
          <w:b/>
          <w:bCs/>
        </w:rPr>
      </w:pPr>
    </w:p>
    <w:p w:rsidR="00113B57" w:rsidRPr="00A701AA" w:rsidRDefault="000072BB" w:rsidP="005351F6">
      <w:pPr>
        <w:rPr>
          <w:b/>
          <w:bCs/>
          <w:color w:val="632423" w:themeColor="accent2" w:themeShade="80"/>
        </w:rPr>
      </w:pPr>
      <w:r>
        <w:rPr>
          <w:b/>
          <w:bCs/>
          <w:color w:val="632423" w:themeColor="accent2" w:themeShade="80"/>
        </w:rPr>
        <w:t>6</w:t>
      </w:r>
      <w:r w:rsidR="00113B57" w:rsidRPr="00A701AA">
        <w:rPr>
          <w:b/>
          <w:bCs/>
          <w:color w:val="632423" w:themeColor="accent2" w:themeShade="80"/>
        </w:rPr>
        <w:t>. Accounts Payable and Accrued Liabilities</w:t>
      </w:r>
    </w:p>
    <w:p w:rsidR="00113B57" w:rsidRDefault="00742405" w:rsidP="005351F6">
      <w:r>
        <w:t>At June 30, 201</w:t>
      </w:r>
      <w:r w:rsidR="00900D8C">
        <w:t>4</w:t>
      </w:r>
      <w:r w:rsidR="00113B57" w:rsidRPr="00742405">
        <w:t>, accrued liabilities are the following.</w:t>
      </w:r>
    </w:p>
    <w:p w:rsidR="00472802" w:rsidRDefault="00472802" w:rsidP="005351F6"/>
    <w:bookmarkStart w:id="19" w:name="_MON_1445090759"/>
    <w:bookmarkEnd w:id="19"/>
    <w:p w:rsidR="00472802" w:rsidRDefault="00702C0A" w:rsidP="005351F6">
      <w:r>
        <w:object w:dxaOrig="7722" w:dyaOrig="1515">
          <v:shape id="_x0000_i1037" type="#_x0000_t75" style="width:408pt;height:85.8pt" o:ole="">
            <v:imagedata r:id="rId44" o:title=""/>
          </v:shape>
          <o:OLEObject Type="Embed" ProgID="Excel.Sheet.12" ShapeID="_x0000_i1037" DrawAspect="Content" ObjectID="_1494923887" r:id="rId45"/>
        </w:object>
      </w:r>
    </w:p>
    <w:p w:rsidR="00550221" w:rsidRDefault="00550221" w:rsidP="005351F6">
      <w:pPr>
        <w:rPr>
          <w:b/>
        </w:rPr>
      </w:pPr>
    </w:p>
    <w:p w:rsidR="00113B57" w:rsidRPr="00A701AA" w:rsidRDefault="0054540A" w:rsidP="005351F6">
      <w:pPr>
        <w:rPr>
          <w:b/>
          <w:color w:val="632423" w:themeColor="accent2" w:themeShade="80"/>
        </w:rPr>
      </w:pPr>
      <w:r>
        <w:rPr>
          <w:b/>
          <w:color w:val="632423" w:themeColor="accent2" w:themeShade="80"/>
        </w:rPr>
        <w:lastRenderedPageBreak/>
        <w:t>7</w:t>
      </w:r>
      <w:r w:rsidR="00113B57" w:rsidRPr="00A701AA">
        <w:rPr>
          <w:b/>
          <w:color w:val="632423" w:themeColor="accent2" w:themeShade="80"/>
        </w:rPr>
        <w:t xml:space="preserve">. </w:t>
      </w:r>
      <w:r w:rsidR="00472802" w:rsidRPr="00A701AA">
        <w:rPr>
          <w:b/>
          <w:color w:val="632423" w:themeColor="accent2" w:themeShade="80"/>
        </w:rPr>
        <w:t>Unearned</w:t>
      </w:r>
      <w:r w:rsidR="00113B57" w:rsidRPr="00A701AA">
        <w:rPr>
          <w:b/>
          <w:color w:val="632423" w:themeColor="accent2" w:themeShade="80"/>
        </w:rPr>
        <w:t xml:space="preserve"> Revenue</w:t>
      </w:r>
    </w:p>
    <w:p w:rsidR="00113B57" w:rsidRDefault="00472802" w:rsidP="005351F6">
      <w:r>
        <w:t>Unearned</w:t>
      </w:r>
      <w:r w:rsidR="00113B57" w:rsidRPr="005140B7">
        <w:t xml:space="preserve"> revenue is comprised of receipts which have not yet met revenue recognition criteria</w:t>
      </w:r>
      <w:r w:rsidR="000E42C8">
        <w:t>, as follows:</w:t>
      </w:r>
    </w:p>
    <w:p w:rsidR="00B3630A" w:rsidRDefault="00B3630A" w:rsidP="005351F6"/>
    <w:bookmarkStart w:id="20" w:name="_MON_1445372882"/>
    <w:bookmarkEnd w:id="20"/>
    <w:p w:rsidR="000E42C8" w:rsidRDefault="00CA4EE5" w:rsidP="005351F6">
      <w:r>
        <w:object w:dxaOrig="6613" w:dyaOrig="1225">
          <v:shape id="_x0000_i1038" type="#_x0000_t75" style="width:331.8pt;height:61.2pt" o:ole="">
            <v:imagedata r:id="rId46" o:title=""/>
          </v:shape>
          <o:OLEObject Type="Embed" ProgID="Excel.Sheet.12" ShapeID="_x0000_i1038" DrawAspect="Content" ObjectID="_1494923888" r:id="rId47"/>
        </w:object>
      </w:r>
    </w:p>
    <w:p w:rsidR="00F91803" w:rsidRDefault="00F91803" w:rsidP="005351F6"/>
    <w:p w:rsidR="004154FC" w:rsidRPr="00A701AA" w:rsidRDefault="0054540A" w:rsidP="004154FC">
      <w:pPr>
        <w:rPr>
          <w:b/>
          <w:color w:val="632423" w:themeColor="accent2" w:themeShade="80"/>
        </w:rPr>
      </w:pPr>
      <w:r>
        <w:rPr>
          <w:b/>
          <w:color w:val="632423" w:themeColor="accent2" w:themeShade="80"/>
        </w:rPr>
        <w:t>8</w:t>
      </w:r>
      <w:r w:rsidR="004154FC" w:rsidRPr="00A701AA">
        <w:rPr>
          <w:b/>
          <w:color w:val="632423" w:themeColor="accent2" w:themeShade="80"/>
        </w:rPr>
        <w:t>. Risk Management</w:t>
      </w:r>
    </w:p>
    <w:p w:rsidR="004154FC" w:rsidRDefault="004154FC" w:rsidP="004154FC">
      <w:r w:rsidRPr="00AC4D31">
        <w:t xml:space="preserve">The </w:t>
      </w:r>
      <w:r>
        <w:t>College</w:t>
      </w:r>
      <w:r w:rsidRPr="00AC4D31">
        <w:t xml:space="preserve">, in accordance with state policy, </w:t>
      </w:r>
      <w:r>
        <w:t xml:space="preserve">pays unemployment claims on a pay-as-you-go basis.  </w:t>
      </w:r>
      <w:r w:rsidRPr="0050612D">
        <w:t>The college finances these costs by assessing all funds a monthly payroll expense for unemployment compensation for all employees. Payments made for claims from July 1, 201</w:t>
      </w:r>
      <w:r w:rsidR="00900D8C" w:rsidRPr="0050612D">
        <w:t>3</w:t>
      </w:r>
      <w:r w:rsidRPr="00224C4C">
        <w:t xml:space="preserve"> through June 30, 201</w:t>
      </w:r>
      <w:r w:rsidR="00900D8C">
        <w:t>4</w:t>
      </w:r>
      <w:r w:rsidRPr="00224C4C">
        <w:t>, were $</w:t>
      </w:r>
      <w:r w:rsidR="0050612D">
        <w:t>110,991.67</w:t>
      </w:r>
      <w:r w:rsidRPr="00224C4C">
        <w:t xml:space="preserve">.  </w:t>
      </w:r>
      <w:r w:rsidRPr="00A90E5E">
        <w:t>Cash reserves for unemployment compensation for all employees at June 30, 201</w:t>
      </w:r>
      <w:r w:rsidR="00900D8C" w:rsidRPr="00A90E5E">
        <w:t>4</w:t>
      </w:r>
      <w:r w:rsidRPr="00A90E5E">
        <w:t>, were $</w:t>
      </w:r>
      <w:r w:rsidR="00A90E5E" w:rsidRPr="00A90E5E">
        <w:t>254,008.35</w:t>
      </w:r>
      <w:r w:rsidRPr="00A90E5E">
        <w:t>.</w:t>
      </w:r>
    </w:p>
    <w:p w:rsidR="004154FC" w:rsidRPr="00AC4D31" w:rsidRDefault="004154FC" w:rsidP="004154FC"/>
    <w:p w:rsidR="004154FC" w:rsidRDefault="004154FC" w:rsidP="004154FC">
      <w:r w:rsidRPr="008514A9">
        <w:t xml:space="preserve">The College purchases commercial property insurance through the master property program administered by the Department of Enterprise Services for buildings that were acquired with COP proceeds.  The policy has a deductible of $250,000 per occurrence and the policy limit is $100,000,000 per occurrence.  The college has had no claims in excess of the coverage amount within the past three years.  The College assumes its potential property losses for most other buildings and contents. </w:t>
      </w:r>
    </w:p>
    <w:p w:rsidR="004154FC" w:rsidRDefault="004154FC" w:rsidP="004154FC"/>
    <w:p w:rsidR="002F5C81" w:rsidRPr="009211A5" w:rsidRDefault="004154FC" w:rsidP="009211A5">
      <w:pPr>
        <w:spacing w:after="200" w:line="276" w:lineRule="auto"/>
        <w:rPr>
          <w:rFonts w:cs="Times New Roman"/>
        </w:rPr>
      </w:pPr>
      <w:r w:rsidRPr="004154FC">
        <w:rPr>
          <w:rFonts w:cs="Times New Roman"/>
        </w:rPr>
        <w:t>The College participates in a State of Washington risk management self-insurance program, which covers its exposure to tort, general damage and vehicle claims. Premiums paid to the State are based on actuarially determined projections and include allowances for payments of both outstanding and current liabilities. Coverage is provided up to $10,000,000 for each claim with no deductible. The college has had no claims in excess of the coverage amount within the past three years.</w:t>
      </w:r>
    </w:p>
    <w:p w:rsidR="00113B57" w:rsidRPr="00A701AA" w:rsidRDefault="0054540A" w:rsidP="005351F6">
      <w:pPr>
        <w:rPr>
          <w:rFonts w:cs="Times New Roman"/>
          <w:b/>
          <w:bCs/>
          <w:color w:val="632423" w:themeColor="accent2" w:themeShade="80"/>
        </w:rPr>
      </w:pPr>
      <w:r>
        <w:rPr>
          <w:b/>
          <w:bCs/>
          <w:color w:val="632423" w:themeColor="accent2" w:themeShade="80"/>
        </w:rPr>
        <w:t>9</w:t>
      </w:r>
      <w:r w:rsidR="00113B57" w:rsidRPr="00A701AA">
        <w:rPr>
          <w:b/>
          <w:bCs/>
          <w:color w:val="632423" w:themeColor="accent2" w:themeShade="80"/>
        </w:rPr>
        <w:t>. Compensated Absences</w:t>
      </w:r>
    </w:p>
    <w:p w:rsidR="00F91803" w:rsidRPr="00F91803" w:rsidRDefault="00F91803" w:rsidP="00F91803">
      <w:pPr>
        <w:autoSpaceDE w:val="0"/>
        <w:autoSpaceDN w:val="0"/>
        <w:adjustRightInd w:val="0"/>
        <w:rPr>
          <w:rFonts w:cs="Times New Roman"/>
        </w:rPr>
      </w:pPr>
      <w:r w:rsidRPr="00F91803">
        <w:rPr>
          <w:rFonts w:cs="Times New Roman"/>
        </w:rPr>
        <w:t>At termination of employment, employees may receive cash payments for all accumulated vacation and</w:t>
      </w:r>
      <w:r>
        <w:rPr>
          <w:rFonts w:cs="Times New Roman"/>
        </w:rPr>
        <w:t xml:space="preserve"> </w:t>
      </w:r>
      <w:r w:rsidRPr="00F91803">
        <w:rPr>
          <w:rFonts w:cs="Times New Roman"/>
        </w:rPr>
        <w:t xml:space="preserve">compensatory time. </w:t>
      </w:r>
      <w:r>
        <w:rPr>
          <w:rFonts w:cs="Times New Roman"/>
        </w:rPr>
        <w:t xml:space="preserve"> </w:t>
      </w:r>
      <w:r w:rsidRPr="00F91803">
        <w:rPr>
          <w:rFonts w:cs="Times New Roman"/>
        </w:rPr>
        <w:t xml:space="preserve">Employees who retire get 25% of the value of their accumulated sick leave </w:t>
      </w:r>
      <w:r w:rsidRPr="00DC088C">
        <w:rPr>
          <w:rFonts w:cs="Times New Roman"/>
        </w:rPr>
        <w:t>credited to a Voluntary Employees’ Beneficiary Association (VEBA) account, which can be used for future medical expenses and insurance purposes. The amounts of</w:t>
      </w:r>
      <w:r w:rsidRPr="00F91803">
        <w:rPr>
          <w:rFonts w:cs="Times New Roman"/>
        </w:rPr>
        <w:t xml:space="preserve"> unpaid vacation and compensatory time accumulated by College employees</w:t>
      </w:r>
      <w:r>
        <w:rPr>
          <w:rFonts w:cs="Times New Roman"/>
        </w:rPr>
        <w:t xml:space="preserve"> </w:t>
      </w:r>
      <w:r w:rsidRPr="00F91803">
        <w:rPr>
          <w:rFonts w:cs="Times New Roman"/>
        </w:rPr>
        <w:t>are accrued when incurred. The sick leave liability is recorded as an actuarial estimate of one-fourth the total</w:t>
      </w:r>
      <w:r w:rsidR="00BD7852">
        <w:rPr>
          <w:rFonts w:cs="Times New Roman"/>
        </w:rPr>
        <w:t xml:space="preserve"> </w:t>
      </w:r>
      <w:r w:rsidRPr="00F91803">
        <w:rPr>
          <w:rFonts w:cs="Times New Roman"/>
        </w:rPr>
        <w:t xml:space="preserve">balance on the payroll records. The accrued vacation leave </w:t>
      </w:r>
      <w:r w:rsidRPr="00DC088C">
        <w:rPr>
          <w:rFonts w:cs="Times New Roman"/>
        </w:rPr>
        <w:t>totaled $</w:t>
      </w:r>
      <w:r w:rsidR="00DC088C" w:rsidRPr="00DC088C">
        <w:rPr>
          <w:rFonts w:cs="Times New Roman"/>
        </w:rPr>
        <w:t>1,882,251.31</w:t>
      </w:r>
      <w:r w:rsidRPr="00DC088C">
        <w:rPr>
          <w:rFonts w:cs="Times New Roman"/>
        </w:rPr>
        <w:t>, and accrued sick leave totaled $</w:t>
      </w:r>
      <w:r w:rsidR="00DC088C" w:rsidRPr="00DC088C">
        <w:rPr>
          <w:rFonts w:cs="Times New Roman"/>
        </w:rPr>
        <w:t>2,608,081.01</w:t>
      </w:r>
      <w:r w:rsidRPr="00DC088C">
        <w:rPr>
          <w:rFonts w:cs="Times New Roman"/>
        </w:rPr>
        <w:t xml:space="preserve"> at June 30, 201</w:t>
      </w:r>
      <w:r w:rsidR="00900D8C" w:rsidRPr="00DC088C">
        <w:rPr>
          <w:rFonts w:cs="Times New Roman"/>
        </w:rPr>
        <w:t>4</w:t>
      </w:r>
      <w:r w:rsidRPr="00DC088C">
        <w:rPr>
          <w:rFonts w:cs="Times New Roman"/>
        </w:rPr>
        <w:t>.</w:t>
      </w:r>
    </w:p>
    <w:p w:rsidR="005140B7" w:rsidRPr="00F91803" w:rsidRDefault="005140B7" w:rsidP="005351F6">
      <w:pPr>
        <w:rPr>
          <w:rFonts w:cs="Times New Roman"/>
        </w:rPr>
      </w:pPr>
    </w:p>
    <w:p w:rsidR="00F91803" w:rsidRDefault="000E42C8" w:rsidP="005351F6">
      <w:pPr>
        <w:rPr>
          <w:shd w:val="clear" w:color="auto" w:fill="D99594" w:themeFill="accent2" w:themeFillTint="99"/>
        </w:rPr>
      </w:pPr>
      <w:r w:rsidRPr="0003170E">
        <w:t>Accrued annual and sick leave are categorized as non-current liabilities.  Compensatory time is categorized as a current liability since it must be used before other leave.</w:t>
      </w:r>
    </w:p>
    <w:p w:rsidR="00DC088C" w:rsidRDefault="00DC088C" w:rsidP="002E2F25">
      <w:pPr>
        <w:rPr>
          <w:b/>
          <w:bCs/>
        </w:rPr>
      </w:pPr>
    </w:p>
    <w:p w:rsidR="006F4037" w:rsidRPr="00A701AA" w:rsidRDefault="0054540A" w:rsidP="006F4037">
      <w:pPr>
        <w:autoSpaceDE w:val="0"/>
        <w:autoSpaceDN w:val="0"/>
        <w:adjustRightInd w:val="0"/>
        <w:rPr>
          <w:rFonts w:cs="Times New Roman"/>
          <w:b/>
          <w:bCs/>
          <w:color w:val="632423" w:themeColor="accent2" w:themeShade="80"/>
        </w:rPr>
      </w:pPr>
      <w:r>
        <w:rPr>
          <w:rFonts w:cs="Times New Roman"/>
          <w:b/>
          <w:bCs/>
          <w:color w:val="632423" w:themeColor="accent2" w:themeShade="80"/>
        </w:rPr>
        <w:t>10</w:t>
      </w:r>
      <w:r w:rsidR="00E92E49" w:rsidRPr="00A701AA">
        <w:rPr>
          <w:rFonts w:cs="Times New Roman"/>
          <w:b/>
          <w:bCs/>
          <w:color w:val="632423" w:themeColor="accent2" w:themeShade="80"/>
        </w:rPr>
        <w:t xml:space="preserve">. </w:t>
      </w:r>
      <w:r w:rsidR="006F4037" w:rsidRPr="00A701AA">
        <w:rPr>
          <w:rFonts w:cs="Times New Roman"/>
          <w:b/>
          <w:bCs/>
          <w:color w:val="632423" w:themeColor="accent2" w:themeShade="80"/>
        </w:rPr>
        <w:t>Notes Payable</w:t>
      </w:r>
    </w:p>
    <w:p w:rsidR="00425218" w:rsidRDefault="006F4037" w:rsidP="00865CB2">
      <w:pPr>
        <w:autoSpaceDE w:val="0"/>
        <w:autoSpaceDN w:val="0"/>
        <w:adjustRightInd w:val="0"/>
        <w:rPr>
          <w:rFonts w:cs="Times New Roman"/>
        </w:rPr>
      </w:pPr>
      <w:r w:rsidRPr="00832F10">
        <w:rPr>
          <w:rFonts w:cs="Times New Roman"/>
        </w:rPr>
        <w:t xml:space="preserve">In </w:t>
      </w:r>
      <w:r w:rsidR="00832F10" w:rsidRPr="00832F10">
        <w:rPr>
          <w:rFonts w:cs="Times New Roman"/>
        </w:rPr>
        <w:t>April 2006</w:t>
      </w:r>
      <w:r w:rsidRPr="00832F10">
        <w:rPr>
          <w:rFonts w:cs="Times New Roman"/>
        </w:rPr>
        <w:t>,</w:t>
      </w:r>
      <w:r w:rsidRPr="006F4037">
        <w:rPr>
          <w:rFonts w:cs="Times New Roman"/>
        </w:rPr>
        <w:t xml:space="preserve"> the College obtained financing in order to </w:t>
      </w:r>
      <w:r w:rsidR="008E7B82">
        <w:rPr>
          <w:rFonts w:cs="Times New Roman"/>
        </w:rPr>
        <w:t xml:space="preserve">renovate and expand </w:t>
      </w:r>
      <w:r w:rsidR="00832F10" w:rsidRPr="00832F10">
        <w:rPr>
          <w:rFonts w:cs="Times New Roman"/>
        </w:rPr>
        <w:t>the</w:t>
      </w:r>
      <w:r w:rsidR="00832F10">
        <w:rPr>
          <w:rFonts w:cs="Times New Roman"/>
        </w:rPr>
        <w:t xml:space="preserve"> Pierce Col</w:t>
      </w:r>
      <w:r w:rsidR="008E7B82">
        <w:rPr>
          <w:rFonts w:cs="Times New Roman"/>
        </w:rPr>
        <w:t xml:space="preserve">lege Fort Steilacoom Health </w:t>
      </w:r>
      <w:r w:rsidR="00832F10">
        <w:rPr>
          <w:rFonts w:cs="Times New Roman"/>
        </w:rPr>
        <w:t xml:space="preserve">Education Center </w:t>
      </w:r>
      <w:r w:rsidR="008E7B82">
        <w:rPr>
          <w:rFonts w:cs="Times New Roman"/>
        </w:rPr>
        <w:t xml:space="preserve">(HEC) </w:t>
      </w:r>
      <w:r w:rsidRPr="006F4037">
        <w:rPr>
          <w:rFonts w:cs="Times New Roman"/>
        </w:rPr>
        <w:t>Building through certificates of participation</w:t>
      </w:r>
      <w:r w:rsidR="00865CB2">
        <w:rPr>
          <w:rFonts w:cs="Times New Roman"/>
        </w:rPr>
        <w:t xml:space="preserve"> (COP)</w:t>
      </w:r>
      <w:r w:rsidRPr="006F4037">
        <w:rPr>
          <w:rFonts w:cs="Times New Roman"/>
        </w:rPr>
        <w:t xml:space="preserve">, issued by the Washington Office of State Treasurer (OST) in the </w:t>
      </w:r>
      <w:r w:rsidRPr="00832F10">
        <w:rPr>
          <w:rFonts w:cs="Times New Roman"/>
        </w:rPr>
        <w:t>amount of $</w:t>
      </w:r>
      <w:r w:rsidR="00832F10" w:rsidRPr="00832F10">
        <w:rPr>
          <w:rFonts w:cs="Times New Roman"/>
        </w:rPr>
        <w:t>5,</w:t>
      </w:r>
      <w:r w:rsidR="00832F10">
        <w:rPr>
          <w:rFonts w:cs="Times New Roman"/>
        </w:rPr>
        <w:t>150,000</w:t>
      </w:r>
      <w:r w:rsidRPr="006F4037">
        <w:rPr>
          <w:rFonts w:cs="Times New Roman"/>
        </w:rPr>
        <w:t xml:space="preserve">. </w:t>
      </w:r>
      <w:r w:rsidR="00865CB2">
        <w:rPr>
          <w:rFonts w:cs="Times New Roman"/>
        </w:rPr>
        <w:t xml:space="preserve"> </w:t>
      </w:r>
      <w:r w:rsidRPr="006F4037">
        <w:rPr>
          <w:rFonts w:cs="Times New Roman"/>
        </w:rPr>
        <w:t>Students assessed themselves, on a quarterly basis, a mandatory fee to service the debt starting in</w:t>
      </w:r>
      <w:r>
        <w:rPr>
          <w:rFonts w:cs="Times New Roman"/>
        </w:rPr>
        <w:t xml:space="preserve"> </w:t>
      </w:r>
      <w:r w:rsidR="008E7B82" w:rsidRPr="008E7B82">
        <w:rPr>
          <w:rFonts w:cs="Times New Roman"/>
        </w:rPr>
        <w:t>2004</w:t>
      </w:r>
      <w:r w:rsidRPr="008E7B82">
        <w:rPr>
          <w:rFonts w:cs="Times New Roman"/>
        </w:rPr>
        <w:t>. The interest</w:t>
      </w:r>
      <w:r w:rsidRPr="006F4037">
        <w:rPr>
          <w:rFonts w:cs="Times New Roman"/>
        </w:rPr>
        <w:t xml:space="preserve"> rate charged </w:t>
      </w:r>
      <w:r w:rsidRPr="00832F10">
        <w:rPr>
          <w:rFonts w:cs="Times New Roman"/>
        </w:rPr>
        <w:t xml:space="preserve">is </w:t>
      </w:r>
      <w:r w:rsidR="00D44FD3">
        <w:rPr>
          <w:rFonts w:cs="Times New Roman"/>
        </w:rPr>
        <w:t>4.452</w:t>
      </w:r>
      <w:r w:rsidRPr="00832F10">
        <w:rPr>
          <w:rFonts w:cs="Times New Roman"/>
        </w:rPr>
        <w:t>%.</w:t>
      </w:r>
      <w:r w:rsidRPr="006F4037">
        <w:rPr>
          <w:rFonts w:cs="Times New Roman"/>
        </w:rPr>
        <w:t xml:space="preserve"> </w:t>
      </w:r>
    </w:p>
    <w:p w:rsidR="00425218" w:rsidRDefault="00425218" w:rsidP="00865CB2">
      <w:pPr>
        <w:autoSpaceDE w:val="0"/>
        <w:autoSpaceDN w:val="0"/>
        <w:adjustRightInd w:val="0"/>
        <w:rPr>
          <w:rFonts w:cs="Times New Roman"/>
        </w:rPr>
      </w:pPr>
    </w:p>
    <w:p w:rsidR="00832F10" w:rsidRDefault="00832F10" w:rsidP="00832F10">
      <w:pPr>
        <w:autoSpaceDE w:val="0"/>
        <w:autoSpaceDN w:val="0"/>
        <w:adjustRightInd w:val="0"/>
        <w:rPr>
          <w:rFonts w:cs="Times New Roman"/>
        </w:rPr>
      </w:pPr>
      <w:r w:rsidRPr="008E7B82">
        <w:rPr>
          <w:rFonts w:cs="Times New Roman"/>
        </w:rPr>
        <w:t xml:space="preserve">In </w:t>
      </w:r>
      <w:r w:rsidR="008E7B82" w:rsidRPr="008E7B82">
        <w:rPr>
          <w:rFonts w:cs="Times New Roman"/>
        </w:rPr>
        <w:t>June 2007</w:t>
      </w:r>
      <w:r w:rsidRPr="008E7B82">
        <w:rPr>
          <w:rFonts w:cs="Times New Roman"/>
        </w:rPr>
        <w:t>,</w:t>
      </w:r>
      <w:r w:rsidRPr="006F4037">
        <w:rPr>
          <w:rFonts w:cs="Times New Roman"/>
        </w:rPr>
        <w:t xml:space="preserve"> the College obtained financing in order </w:t>
      </w:r>
      <w:r w:rsidRPr="008E7B82">
        <w:rPr>
          <w:rFonts w:cs="Times New Roman"/>
        </w:rPr>
        <w:t>to build the</w:t>
      </w:r>
      <w:r w:rsidRPr="006F4037">
        <w:rPr>
          <w:rFonts w:cs="Times New Roman"/>
        </w:rPr>
        <w:t xml:space="preserve"> </w:t>
      </w:r>
      <w:r w:rsidR="008E7B82">
        <w:rPr>
          <w:rFonts w:cs="Times New Roman"/>
        </w:rPr>
        <w:t xml:space="preserve">Pierce College Puyallup Health Education Center (HEP) </w:t>
      </w:r>
      <w:r w:rsidRPr="006F4037">
        <w:rPr>
          <w:rFonts w:cs="Times New Roman"/>
        </w:rPr>
        <w:t>Building through certificates of participation</w:t>
      </w:r>
      <w:r>
        <w:rPr>
          <w:rFonts w:cs="Times New Roman"/>
        </w:rPr>
        <w:t xml:space="preserve"> (COP)</w:t>
      </w:r>
      <w:r w:rsidRPr="006F4037">
        <w:rPr>
          <w:rFonts w:cs="Times New Roman"/>
        </w:rPr>
        <w:t xml:space="preserve">, issued by the Washington Office of State Treasurer (OST) in the amount </w:t>
      </w:r>
      <w:r w:rsidRPr="008E7B82">
        <w:rPr>
          <w:rFonts w:cs="Times New Roman"/>
        </w:rPr>
        <w:t>of $</w:t>
      </w:r>
      <w:r w:rsidR="008E7B82" w:rsidRPr="008E7B82">
        <w:rPr>
          <w:rFonts w:cs="Times New Roman"/>
        </w:rPr>
        <w:t>4,690,000</w:t>
      </w:r>
      <w:r w:rsidRPr="006F4037">
        <w:rPr>
          <w:rFonts w:cs="Times New Roman"/>
        </w:rPr>
        <w:t xml:space="preserve">. </w:t>
      </w:r>
      <w:r>
        <w:rPr>
          <w:rFonts w:cs="Times New Roman"/>
        </w:rPr>
        <w:t xml:space="preserve"> </w:t>
      </w:r>
      <w:r w:rsidRPr="006F4037">
        <w:rPr>
          <w:rFonts w:cs="Times New Roman"/>
        </w:rPr>
        <w:t xml:space="preserve">Students assessed themselves, on a quarterly basis, a mandatory fee to service the debt starting </w:t>
      </w:r>
      <w:r w:rsidRPr="009C4203">
        <w:rPr>
          <w:rFonts w:cs="Times New Roman"/>
        </w:rPr>
        <w:t xml:space="preserve">in </w:t>
      </w:r>
      <w:r w:rsidR="009C4203" w:rsidRPr="009C4203">
        <w:rPr>
          <w:rFonts w:cs="Times New Roman"/>
        </w:rPr>
        <w:t>2004</w:t>
      </w:r>
      <w:r w:rsidRPr="009C4203">
        <w:rPr>
          <w:rFonts w:cs="Times New Roman"/>
        </w:rPr>
        <w:t>.</w:t>
      </w:r>
      <w:r w:rsidRPr="006F4037">
        <w:rPr>
          <w:rFonts w:cs="Times New Roman"/>
        </w:rPr>
        <w:t xml:space="preserve"> The interest rate charged is </w:t>
      </w:r>
      <w:r w:rsidR="00D44FD3">
        <w:rPr>
          <w:rFonts w:cs="Times New Roman"/>
        </w:rPr>
        <w:t>4.419</w:t>
      </w:r>
      <w:r w:rsidRPr="008E7B82">
        <w:rPr>
          <w:rFonts w:cs="Times New Roman"/>
        </w:rPr>
        <w:t>%.</w:t>
      </w:r>
      <w:r w:rsidRPr="006F4037">
        <w:rPr>
          <w:rFonts w:cs="Times New Roman"/>
        </w:rPr>
        <w:t xml:space="preserve"> </w:t>
      </w:r>
    </w:p>
    <w:p w:rsidR="008E7B82" w:rsidRDefault="008E7B82" w:rsidP="00865CB2">
      <w:pPr>
        <w:autoSpaceDE w:val="0"/>
        <w:autoSpaceDN w:val="0"/>
        <w:adjustRightInd w:val="0"/>
        <w:rPr>
          <w:rFonts w:cs="Times New Roman"/>
        </w:rPr>
      </w:pPr>
    </w:p>
    <w:p w:rsidR="00425218" w:rsidRDefault="00865CB2" w:rsidP="00865CB2">
      <w:pPr>
        <w:autoSpaceDE w:val="0"/>
        <w:autoSpaceDN w:val="0"/>
        <w:adjustRightInd w:val="0"/>
        <w:rPr>
          <w:rFonts w:cs="Times New Roman"/>
        </w:rPr>
      </w:pPr>
      <w:r>
        <w:rPr>
          <w:rFonts w:cs="Times New Roman"/>
        </w:rPr>
        <w:t xml:space="preserve">Student </w:t>
      </w:r>
      <w:r w:rsidRPr="006F4037">
        <w:rPr>
          <w:rFonts w:cs="Times New Roman"/>
        </w:rPr>
        <w:t xml:space="preserve">fees </w:t>
      </w:r>
      <w:r w:rsidR="008E7B82">
        <w:rPr>
          <w:rFonts w:cs="Times New Roman"/>
        </w:rPr>
        <w:t>related to these</w:t>
      </w:r>
      <w:r>
        <w:rPr>
          <w:rFonts w:cs="Times New Roman"/>
        </w:rPr>
        <w:t xml:space="preserve"> COP(s) </w:t>
      </w:r>
      <w:r w:rsidR="009C4203">
        <w:rPr>
          <w:rFonts w:cs="Times New Roman"/>
        </w:rPr>
        <w:t>are accounted for in</w:t>
      </w:r>
      <w:r w:rsidRPr="006F4037">
        <w:rPr>
          <w:rFonts w:cs="Times New Roman"/>
        </w:rPr>
        <w:t xml:space="preserve"> dedicated fund</w:t>
      </w:r>
      <w:r w:rsidR="009C4203">
        <w:rPr>
          <w:rFonts w:cs="Times New Roman"/>
        </w:rPr>
        <w:t>s, which are</w:t>
      </w:r>
      <w:r w:rsidRPr="006F4037">
        <w:rPr>
          <w:rFonts w:cs="Times New Roman"/>
        </w:rPr>
        <w:t xml:space="preserve"> used to pay principal and interest, not coming out</w:t>
      </w:r>
      <w:r>
        <w:rPr>
          <w:rFonts w:cs="Times New Roman"/>
        </w:rPr>
        <w:t xml:space="preserve"> </w:t>
      </w:r>
      <w:r w:rsidRPr="006F4037">
        <w:rPr>
          <w:rFonts w:cs="Times New Roman"/>
        </w:rPr>
        <w:t xml:space="preserve">of the general operating budget. </w:t>
      </w:r>
    </w:p>
    <w:p w:rsidR="00425218" w:rsidRDefault="00425218" w:rsidP="00865CB2">
      <w:pPr>
        <w:autoSpaceDE w:val="0"/>
        <w:autoSpaceDN w:val="0"/>
        <w:adjustRightInd w:val="0"/>
        <w:rPr>
          <w:rFonts w:cs="Times New Roman"/>
        </w:rPr>
      </w:pPr>
    </w:p>
    <w:p w:rsidR="006F4037" w:rsidRDefault="006F4037" w:rsidP="00865CB2">
      <w:pPr>
        <w:autoSpaceDE w:val="0"/>
        <w:autoSpaceDN w:val="0"/>
        <w:adjustRightInd w:val="0"/>
        <w:rPr>
          <w:rFonts w:cs="Times New Roman"/>
        </w:rPr>
      </w:pPr>
      <w:r w:rsidRPr="006F4037">
        <w:rPr>
          <w:rFonts w:cs="Times New Roman"/>
        </w:rPr>
        <w:t>The College’s debt service</w:t>
      </w:r>
      <w:r w:rsidR="00865CB2">
        <w:rPr>
          <w:rFonts w:cs="Times New Roman"/>
        </w:rPr>
        <w:t xml:space="preserve"> </w:t>
      </w:r>
      <w:r w:rsidRPr="006F4037">
        <w:rPr>
          <w:rFonts w:cs="Times New Roman"/>
        </w:rPr>
        <w:t xml:space="preserve">requirements </w:t>
      </w:r>
      <w:r w:rsidRPr="008E7B82">
        <w:rPr>
          <w:rFonts w:cs="Times New Roman"/>
        </w:rPr>
        <w:t xml:space="preserve">for </w:t>
      </w:r>
      <w:r w:rsidR="008E7B82" w:rsidRPr="008E7B82">
        <w:rPr>
          <w:rFonts w:cs="Times New Roman"/>
        </w:rPr>
        <w:t>these</w:t>
      </w:r>
      <w:r w:rsidRPr="008E7B82">
        <w:rPr>
          <w:rFonts w:cs="Times New Roman"/>
        </w:rPr>
        <w:t xml:space="preserve"> note agreement</w:t>
      </w:r>
      <w:r w:rsidR="00865CB2" w:rsidRPr="008E7B82">
        <w:rPr>
          <w:rFonts w:cs="Times New Roman"/>
        </w:rPr>
        <w:t>(s)</w:t>
      </w:r>
      <w:r w:rsidRPr="008E7B82">
        <w:rPr>
          <w:rFonts w:cs="Times New Roman"/>
        </w:rPr>
        <w:t xml:space="preserve"> for</w:t>
      </w:r>
      <w:r w:rsidRPr="006F4037">
        <w:rPr>
          <w:rFonts w:cs="Times New Roman"/>
        </w:rPr>
        <w:t xml:space="preserve"> the next five years and thereafter are as follows:</w:t>
      </w:r>
    </w:p>
    <w:p w:rsidR="006E760D" w:rsidRDefault="006E760D" w:rsidP="00865CB2">
      <w:pPr>
        <w:autoSpaceDE w:val="0"/>
        <w:autoSpaceDN w:val="0"/>
        <w:adjustRightInd w:val="0"/>
        <w:rPr>
          <w:rFonts w:cs="Times New Roman"/>
        </w:rPr>
      </w:pPr>
    </w:p>
    <w:p w:rsidR="00113B57" w:rsidRPr="00A701AA" w:rsidRDefault="00E92E49" w:rsidP="002E2F25">
      <w:pPr>
        <w:rPr>
          <w:b/>
          <w:bCs/>
          <w:color w:val="632423" w:themeColor="accent2" w:themeShade="80"/>
        </w:rPr>
      </w:pPr>
      <w:r w:rsidRPr="00A701AA">
        <w:rPr>
          <w:b/>
          <w:bCs/>
          <w:color w:val="632423" w:themeColor="accent2" w:themeShade="80"/>
        </w:rPr>
        <w:t>1</w:t>
      </w:r>
      <w:r w:rsidR="0054540A">
        <w:rPr>
          <w:b/>
          <w:bCs/>
          <w:color w:val="632423" w:themeColor="accent2" w:themeShade="80"/>
        </w:rPr>
        <w:t>1</w:t>
      </w:r>
      <w:r w:rsidRPr="00A701AA">
        <w:rPr>
          <w:b/>
          <w:bCs/>
          <w:color w:val="632423" w:themeColor="accent2" w:themeShade="80"/>
        </w:rPr>
        <w:t xml:space="preserve">. </w:t>
      </w:r>
      <w:r w:rsidR="00113B57" w:rsidRPr="00A701AA">
        <w:rPr>
          <w:b/>
          <w:bCs/>
          <w:color w:val="632423" w:themeColor="accent2" w:themeShade="80"/>
        </w:rPr>
        <w:t>Annual Debt Service Requirements</w:t>
      </w:r>
    </w:p>
    <w:p w:rsidR="00113B57" w:rsidRPr="00372AFF" w:rsidRDefault="00113B57" w:rsidP="002E2F25">
      <w:r w:rsidRPr="00372AFF">
        <w:t>Future debt service requirements at June 30, 201</w:t>
      </w:r>
      <w:r w:rsidR="00CF3782">
        <w:t>4</w:t>
      </w:r>
      <w:r w:rsidRPr="00372AFF">
        <w:t xml:space="preserve"> </w:t>
      </w:r>
      <w:r w:rsidR="00B03FA7">
        <w:t xml:space="preserve">for the next five years and thereafter </w:t>
      </w:r>
      <w:r w:rsidRPr="00372AFF">
        <w:t>are as follows.</w:t>
      </w:r>
    </w:p>
    <w:p w:rsidR="007F6C41" w:rsidRDefault="007F6C41" w:rsidP="002E2F25">
      <w:pPr>
        <w:rPr>
          <w:highlight w:val="yellow"/>
        </w:rPr>
      </w:pPr>
    </w:p>
    <w:bookmarkStart w:id="21" w:name="_MON_1445865202"/>
    <w:bookmarkEnd w:id="21"/>
    <w:p w:rsidR="007F6C41" w:rsidRPr="00A81E4D" w:rsidRDefault="0008137F" w:rsidP="002E2F25">
      <w:r w:rsidRPr="00A81E4D">
        <w:object w:dxaOrig="5459" w:dyaOrig="3287">
          <v:shape id="_x0000_i1039" type="#_x0000_t75" style="width:273pt;height:171.6pt" o:ole="">
            <v:imagedata r:id="rId48" o:title=""/>
          </v:shape>
          <o:OLEObject Type="Embed" ProgID="Excel.Sheet.12" ShapeID="_x0000_i1039" DrawAspect="Content" ObjectID="_1494923889" r:id="rId49"/>
        </w:object>
      </w:r>
    </w:p>
    <w:p w:rsidR="007F6C41" w:rsidRPr="00A81E4D" w:rsidRDefault="007F6C41" w:rsidP="002E2F25"/>
    <w:p w:rsidR="00113B57" w:rsidRPr="00A701AA" w:rsidRDefault="006E760D" w:rsidP="002E2F25">
      <w:pPr>
        <w:rPr>
          <w:b/>
          <w:bCs/>
          <w:color w:val="632423" w:themeColor="accent2" w:themeShade="80"/>
        </w:rPr>
      </w:pPr>
      <w:r w:rsidRPr="00A701AA">
        <w:rPr>
          <w:b/>
          <w:bCs/>
          <w:color w:val="632423" w:themeColor="accent2" w:themeShade="80"/>
        </w:rPr>
        <w:t>1</w:t>
      </w:r>
      <w:r w:rsidR="0054540A">
        <w:rPr>
          <w:b/>
          <w:bCs/>
          <w:color w:val="632423" w:themeColor="accent2" w:themeShade="80"/>
        </w:rPr>
        <w:t>2</w:t>
      </w:r>
      <w:r w:rsidR="00113B57" w:rsidRPr="00A701AA">
        <w:rPr>
          <w:b/>
          <w:bCs/>
          <w:color w:val="632423" w:themeColor="accent2" w:themeShade="80"/>
        </w:rPr>
        <w:t>. Schedule of Long Term Debt</w:t>
      </w:r>
    </w:p>
    <w:p w:rsidR="00A81E4D" w:rsidRDefault="00A81E4D" w:rsidP="002E2F25">
      <w:pPr>
        <w:rPr>
          <w:b/>
          <w:bCs/>
        </w:rPr>
      </w:pPr>
    </w:p>
    <w:bookmarkStart w:id="22" w:name="_MON_1445374658"/>
    <w:bookmarkEnd w:id="22"/>
    <w:p w:rsidR="007879BC" w:rsidRDefault="00BD7852" w:rsidP="002E2F25">
      <w:pPr>
        <w:rPr>
          <w:b/>
          <w:bCs/>
        </w:rPr>
      </w:pPr>
      <w:r w:rsidRPr="00C41CE8">
        <w:object w:dxaOrig="9109" w:dyaOrig="1121">
          <v:shape id="_x0000_i1040" type="#_x0000_t75" style="width:455.4pt;height:55.2pt" o:ole="">
            <v:imagedata r:id="rId50" o:title=""/>
          </v:shape>
          <o:OLEObject Type="Embed" ProgID="Excel.Sheet.12" ShapeID="_x0000_i1040" DrawAspect="Content" ObjectID="_1494923890" r:id="rId51"/>
        </w:object>
      </w:r>
    </w:p>
    <w:p w:rsidR="007F6C41" w:rsidRDefault="007F6C41" w:rsidP="002E2F25">
      <w:pPr>
        <w:rPr>
          <w:b/>
          <w:bCs/>
        </w:rPr>
      </w:pPr>
    </w:p>
    <w:p w:rsidR="00113B57" w:rsidRPr="00A701AA" w:rsidRDefault="006E760D" w:rsidP="002E2F25">
      <w:pPr>
        <w:rPr>
          <w:b/>
          <w:bCs/>
          <w:color w:val="632423" w:themeColor="accent2" w:themeShade="80"/>
        </w:rPr>
      </w:pPr>
      <w:r w:rsidRPr="00A701AA">
        <w:rPr>
          <w:b/>
          <w:bCs/>
          <w:color w:val="632423" w:themeColor="accent2" w:themeShade="80"/>
        </w:rPr>
        <w:t>1</w:t>
      </w:r>
      <w:r w:rsidR="0054540A">
        <w:rPr>
          <w:b/>
          <w:bCs/>
          <w:color w:val="632423" w:themeColor="accent2" w:themeShade="80"/>
        </w:rPr>
        <w:t>3</w:t>
      </w:r>
      <w:r w:rsidR="00113B57" w:rsidRPr="00A701AA">
        <w:rPr>
          <w:b/>
          <w:bCs/>
          <w:color w:val="632423" w:themeColor="accent2" w:themeShade="80"/>
        </w:rPr>
        <w:t>. Pension Plans</w:t>
      </w:r>
    </w:p>
    <w:p w:rsidR="00C22658" w:rsidRDefault="00113B57" w:rsidP="00C22658">
      <w:pPr>
        <w:rPr>
          <w:lang w:val="en"/>
        </w:rPr>
      </w:pPr>
      <w:r w:rsidRPr="00E647C8">
        <w:t xml:space="preserve">The </w:t>
      </w:r>
      <w:r w:rsidR="00D20364">
        <w:t>College</w:t>
      </w:r>
      <w:r w:rsidRPr="00E647C8">
        <w:t xml:space="preserve"> offers </w:t>
      </w:r>
      <w:r w:rsidR="00FD789A">
        <w:t>three</w:t>
      </w:r>
      <w:r w:rsidRPr="00E647C8">
        <w:t xml:space="preserve"> contributory pension plans</w:t>
      </w:r>
      <w:r w:rsidR="005F7C4B">
        <w:t xml:space="preserve">.  The </w:t>
      </w:r>
      <w:r w:rsidRPr="00E647C8">
        <w:t>Washington State Public Employees Retirement System (PERS)</w:t>
      </w:r>
      <w:r w:rsidR="00FD789A">
        <w:t xml:space="preserve"> and Teachers Retirement System (TRS)</w:t>
      </w:r>
      <w:r w:rsidRPr="00E647C8">
        <w:t xml:space="preserve"> plan</w:t>
      </w:r>
      <w:r w:rsidR="00FD789A">
        <w:t>s are</w:t>
      </w:r>
      <w:r w:rsidR="00C22658">
        <w:t xml:space="preserve"> </w:t>
      </w:r>
      <w:r w:rsidRPr="005C7375">
        <w:t>cost sharing multiple</w:t>
      </w:r>
      <w:r w:rsidR="005F7C4B" w:rsidRPr="005C7375">
        <w:t xml:space="preserve"> </w:t>
      </w:r>
      <w:r w:rsidRPr="005C7375">
        <w:t>employer</w:t>
      </w:r>
      <w:r w:rsidR="002E2F25" w:rsidRPr="005C7375">
        <w:t xml:space="preserve"> </w:t>
      </w:r>
      <w:r w:rsidRPr="005C7375">
        <w:t>defined benefit pension plans administered by the State of Washington Department of Retire</w:t>
      </w:r>
      <w:r w:rsidRPr="00E647C8">
        <w:t>ment Services</w:t>
      </w:r>
      <w:r w:rsidR="005F7C4B">
        <w:t xml:space="preserve">.  </w:t>
      </w:r>
      <w:r w:rsidR="005F7C4B" w:rsidRPr="00C22658">
        <w:t xml:space="preserve">The </w:t>
      </w:r>
      <w:r w:rsidR="005F7C4B" w:rsidRPr="00C22658">
        <w:rPr>
          <w:rStyle w:val="Strong"/>
          <w:b w:val="0"/>
          <w:lang w:val="en"/>
        </w:rPr>
        <w:t>State Board Retirement Plan (SBRP)</w:t>
      </w:r>
      <w:r w:rsidR="005F7C4B" w:rsidRPr="00C22658">
        <w:rPr>
          <w:lang w:val="en"/>
        </w:rPr>
        <w:t xml:space="preserve"> is a </w:t>
      </w:r>
      <w:r w:rsidR="009D0F5E">
        <w:rPr>
          <w:lang w:val="en"/>
        </w:rPr>
        <w:t xml:space="preserve">multiple employer </w:t>
      </w:r>
      <w:r w:rsidR="00C22658" w:rsidRPr="00C22658">
        <w:rPr>
          <w:lang w:val="en"/>
        </w:rPr>
        <w:t>defin</w:t>
      </w:r>
      <w:r w:rsidR="00C22658">
        <w:rPr>
          <w:lang w:val="en"/>
        </w:rPr>
        <w:t>ed contribution plan for the faculty and exempt administrative and professional staff</w:t>
      </w:r>
      <w:r w:rsidR="009D0F5E">
        <w:rPr>
          <w:lang w:val="en"/>
        </w:rPr>
        <w:t xml:space="preserve"> of the </w:t>
      </w:r>
      <w:r w:rsidR="00C93296">
        <w:rPr>
          <w:lang w:val="en"/>
        </w:rPr>
        <w:t>state’s</w:t>
      </w:r>
      <w:r w:rsidR="009D0F5E">
        <w:rPr>
          <w:lang w:val="en"/>
        </w:rPr>
        <w:t xml:space="preserve"> public community and technical colleges.  The plan includes</w:t>
      </w:r>
      <w:r w:rsidR="00C22658">
        <w:rPr>
          <w:lang w:val="en"/>
        </w:rPr>
        <w:t xml:space="preserve"> supplemental payment, when required. </w:t>
      </w:r>
      <w:r w:rsidR="00C93296">
        <w:rPr>
          <w:lang w:val="en"/>
        </w:rPr>
        <w:t xml:space="preserve"> The plan is administered by the State Board for Community and Technical Colleges (SBCTC).</w:t>
      </w:r>
    </w:p>
    <w:p w:rsidR="00C22658" w:rsidRDefault="00C22658" w:rsidP="00C22658">
      <w:pPr>
        <w:rPr>
          <w:lang w:val="en"/>
        </w:rPr>
      </w:pPr>
    </w:p>
    <w:p w:rsidR="005F7C4B" w:rsidRPr="005F7C4B" w:rsidRDefault="00CF3782" w:rsidP="00C22658">
      <w:pPr>
        <w:rPr>
          <w:lang w:val="en"/>
        </w:rPr>
      </w:pPr>
      <w:r>
        <w:rPr>
          <w:lang w:val="en"/>
        </w:rPr>
        <w:t>For FY2013-14</w:t>
      </w:r>
      <w:r w:rsidR="00C22658">
        <w:rPr>
          <w:lang w:val="en"/>
        </w:rPr>
        <w:t xml:space="preserve">, the payroll for the College’s employees </w:t>
      </w:r>
      <w:r w:rsidR="00C22658" w:rsidRPr="00FA466A">
        <w:rPr>
          <w:lang w:val="en"/>
        </w:rPr>
        <w:t>was $</w:t>
      </w:r>
      <w:r w:rsidR="00FA466A" w:rsidRPr="00FA466A">
        <w:rPr>
          <w:lang w:val="en"/>
        </w:rPr>
        <w:t>11</w:t>
      </w:r>
      <w:r w:rsidR="009C2411">
        <w:rPr>
          <w:lang w:val="en"/>
        </w:rPr>
        <w:t>,461,291.03</w:t>
      </w:r>
      <w:r w:rsidR="00C22658">
        <w:rPr>
          <w:lang w:val="en"/>
        </w:rPr>
        <w:t xml:space="preserve"> for PERS</w:t>
      </w:r>
      <w:r w:rsidR="00FD789A">
        <w:rPr>
          <w:lang w:val="en"/>
        </w:rPr>
        <w:t xml:space="preserve">, </w:t>
      </w:r>
      <w:r w:rsidR="00FD789A" w:rsidRPr="00FA466A">
        <w:rPr>
          <w:lang w:val="en"/>
        </w:rPr>
        <w:t>$</w:t>
      </w:r>
      <w:r w:rsidR="00FA466A" w:rsidRPr="00FA466A">
        <w:rPr>
          <w:lang w:val="en"/>
        </w:rPr>
        <w:t>4</w:t>
      </w:r>
      <w:r w:rsidR="009C2411">
        <w:rPr>
          <w:lang w:val="en"/>
        </w:rPr>
        <w:t>00,508.22</w:t>
      </w:r>
      <w:r w:rsidR="00FD789A">
        <w:rPr>
          <w:lang w:val="en"/>
        </w:rPr>
        <w:t xml:space="preserve"> for TRS,</w:t>
      </w:r>
      <w:r w:rsidR="00C22658">
        <w:rPr>
          <w:lang w:val="en"/>
        </w:rPr>
        <w:t xml:space="preserve"> and </w:t>
      </w:r>
      <w:r w:rsidR="00C22658" w:rsidRPr="00FA466A">
        <w:rPr>
          <w:lang w:val="en"/>
        </w:rPr>
        <w:t>$</w:t>
      </w:r>
      <w:r w:rsidR="00AC2422">
        <w:rPr>
          <w:lang w:val="en"/>
        </w:rPr>
        <w:t>19,72</w:t>
      </w:r>
      <w:r w:rsidR="009C2411">
        <w:rPr>
          <w:lang w:val="en"/>
        </w:rPr>
        <w:t>2,408.16</w:t>
      </w:r>
      <w:r w:rsidR="00C22658">
        <w:rPr>
          <w:lang w:val="en"/>
        </w:rPr>
        <w:t xml:space="preserve"> for SBRP. Total covered payroll </w:t>
      </w:r>
      <w:r w:rsidR="00C22658" w:rsidRPr="002F5C81">
        <w:rPr>
          <w:lang w:val="en"/>
        </w:rPr>
        <w:t>was $</w:t>
      </w:r>
      <w:r w:rsidR="002F5C81" w:rsidRPr="002F5C81">
        <w:rPr>
          <w:lang w:val="en"/>
        </w:rPr>
        <w:t>31,</w:t>
      </w:r>
      <w:r w:rsidR="002F5C81">
        <w:rPr>
          <w:lang w:val="en"/>
        </w:rPr>
        <w:t>584,207.41</w:t>
      </w:r>
      <w:r w:rsidR="00C22658">
        <w:rPr>
          <w:lang w:val="en"/>
        </w:rPr>
        <w:t>.</w:t>
      </w:r>
    </w:p>
    <w:p w:rsidR="00E647C8" w:rsidRPr="00C13603" w:rsidRDefault="00E647C8" w:rsidP="002E2F25">
      <w:pPr>
        <w:rPr>
          <w:highlight w:val="yellow"/>
        </w:rPr>
      </w:pPr>
    </w:p>
    <w:p w:rsidR="005C7375" w:rsidRPr="00A701AA" w:rsidRDefault="00113B57" w:rsidP="002E2F25">
      <w:pPr>
        <w:rPr>
          <w:b/>
          <w:bCs/>
          <w:iCs/>
          <w:color w:val="262626" w:themeColor="text1" w:themeTint="D9"/>
        </w:rPr>
      </w:pPr>
      <w:r w:rsidRPr="00A701AA">
        <w:rPr>
          <w:b/>
          <w:bCs/>
          <w:iCs/>
          <w:color w:val="262626" w:themeColor="text1" w:themeTint="D9"/>
        </w:rPr>
        <w:t>PERS</w:t>
      </w:r>
      <w:r w:rsidR="00FD789A" w:rsidRPr="00A701AA">
        <w:rPr>
          <w:b/>
          <w:bCs/>
          <w:iCs/>
          <w:color w:val="262626" w:themeColor="text1" w:themeTint="D9"/>
        </w:rPr>
        <w:t xml:space="preserve"> and TRS</w:t>
      </w:r>
    </w:p>
    <w:p w:rsidR="00113B57" w:rsidRDefault="00113B57" w:rsidP="002E2F25">
      <w:r w:rsidRPr="00476146">
        <w:rPr>
          <w:u w:val="single"/>
        </w:rPr>
        <w:t>Plan Description</w:t>
      </w:r>
      <w:r w:rsidR="00AE13A6">
        <w:rPr>
          <w:u w:val="single"/>
        </w:rPr>
        <w:t>s</w:t>
      </w:r>
      <w:r w:rsidRPr="00423C1B">
        <w:t>. PERS Plan 1 provides retirement and disability benefits and minimum benefit increases to eligible nonacademic plan</w:t>
      </w:r>
      <w:r w:rsidR="002E2F25" w:rsidRPr="00423C1B">
        <w:t xml:space="preserve"> </w:t>
      </w:r>
      <w:r w:rsidRPr="00423C1B">
        <w:t>members hired prior to October 1, 1977. PERS Plans 2 and 3 provide retirement and disability benefits and a cost-of-living adjustment to eligible</w:t>
      </w:r>
      <w:r w:rsidR="002E2F25" w:rsidRPr="00423C1B">
        <w:t xml:space="preserve"> </w:t>
      </w:r>
      <w:r w:rsidRPr="00423C1B">
        <w:t>nonacademic plan members hired on or after October 1, 1977. Retirement benefits are vested after five years of eligible service. PERS Plan 3 has a</w:t>
      </w:r>
      <w:r w:rsidR="002E2F25" w:rsidRPr="00423C1B">
        <w:t xml:space="preserve"> </w:t>
      </w:r>
      <w:r w:rsidRPr="00423C1B">
        <w:t>defined contribution component that members may elect to self-direct as established by the Employee Retirement Benefits Board. PERS 3 defined</w:t>
      </w:r>
      <w:r w:rsidR="002E2F25" w:rsidRPr="00423C1B">
        <w:t xml:space="preserve"> </w:t>
      </w:r>
      <w:r w:rsidRPr="00423C1B">
        <w:t>benefit plan benefits are vested after an employee completes five year</w:t>
      </w:r>
      <w:r w:rsidR="00A271A5">
        <w:t>s</w:t>
      </w:r>
      <w:r w:rsidRPr="00423C1B">
        <w:t xml:space="preserve"> of eligible service.</w:t>
      </w:r>
      <w:r w:rsidR="002E2F25" w:rsidRPr="00423C1B">
        <w:t xml:space="preserve"> </w:t>
      </w:r>
    </w:p>
    <w:p w:rsidR="00423C1B" w:rsidRDefault="00423C1B" w:rsidP="002E2F25"/>
    <w:p w:rsidR="00FD789A" w:rsidRPr="00FD789A" w:rsidRDefault="00FD789A" w:rsidP="00FD789A">
      <w:pPr>
        <w:rPr>
          <w:rFonts w:cs="Times New Roman"/>
        </w:rPr>
      </w:pPr>
      <w:r w:rsidRPr="00FD789A">
        <w:rPr>
          <w:rFonts w:cs="Times New Roman"/>
        </w:rPr>
        <w:t xml:space="preserve">TRS Plan 3 provides retirement benefits to certain eligible faculty hired on or after October 1, 1977.  The plan includes both a defined benefit portion and a defined contribution portion.  The defined benefit portion is funded by employer contributions only.  Benefits are vested after an employee completes five or ten years of </w:t>
      </w:r>
      <w:r w:rsidRPr="00FD789A">
        <w:rPr>
          <w:rFonts w:cs="Times New Roman"/>
        </w:rPr>
        <w:lastRenderedPageBreak/>
        <w:t xml:space="preserve">eligible service, depending on the employee’s age and service credit, and include an annual cost-of living adjustment.  The defined contribution component is fully funded by employee contributions and investment performance.  </w:t>
      </w:r>
    </w:p>
    <w:p w:rsidR="00FD789A" w:rsidRPr="00FD789A" w:rsidRDefault="00FD789A" w:rsidP="00FD789A">
      <w:pPr>
        <w:rPr>
          <w:rFonts w:cs="Times New Roman"/>
        </w:rPr>
      </w:pPr>
    </w:p>
    <w:p w:rsidR="00FD789A" w:rsidRPr="006B70BE" w:rsidRDefault="00FD789A" w:rsidP="00FD789A">
      <w:pPr>
        <w:rPr>
          <w:b/>
          <w:sz w:val="18"/>
          <w:szCs w:val="18"/>
          <w:u w:val="single"/>
        </w:rPr>
      </w:pPr>
      <w:r w:rsidRPr="00FD789A">
        <w:rPr>
          <w:rFonts w:cs="Times New Roman"/>
        </w:rPr>
        <w:t xml:space="preserve">The college also </w:t>
      </w:r>
      <w:r w:rsidRPr="00FA466A">
        <w:rPr>
          <w:rFonts w:cs="Times New Roman"/>
        </w:rPr>
        <w:t xml:space="preserve">has </w:t>
      </w:r>
      <w:r w:rsidR="00FA466A" w:rsidRPr="00FA466A">
        <w:rPr>
          <w:rFonts w:cs="Times New Roman"/>
        </w:rPr>
        <w:t>2</w:t>
      </w:r>
      <w:r w:rsidR="002F1573">
        <w:rPr>
          <w:rFonts w:cs="Times New Roman"/>
        </w:rPr>
        <w:t xml:space="preserve"> employees</w:t>
      </w:r>
      <w:r w:rsidRPr="00FD789A">
        <w:rPr>
          <w:rFonts w:cs="Times New Roman"/>
        </w:rPr>
        <w:t xml:space="preserve"> with pre-existing eligibility who continue to participate in TRS 1 or 2.</w:t>
      </w:r>
      <w:r>
        <w:rPr>
          <w:rFonts w:cs="Times New Roman"/>
        </w:rPr>
        <w:t xml:space="preserve">  </w:t>
      </w:r>
    </w:p>
    <w:p w:rsidR="00FD789A" w:rsidRPr="00423C1B" w:rsidRDefault="00FD789A" w:rsidP="002E2F25"/>
    <w:p w:rsidR="00113B57" w:rsidRDefault="00113B57" w:rsidP="002E2F25">
      <w:r w:rsidRPr="00423C1B">
        <w:t xml:space="preserve">The authority to establish and amend benefit provisions resides with the legislature. PERS </w:t>
      </w:r>
      <w:r w:rsidR="00FD789A">
        <w:t xml:space="preserve">and TRS </w:t>
      </w:r>
      <w:r w:rsidRPr="00423C1B">
        <w:t>issue publicly available financial report</w:t>
      </w:r>
      <w:r w:rsidR="00FD789A">
        <w:t>s</w:t>
      </w:r>
      <w:r w:rsidRPr="00423C1B">
        <w:t xml:space="preserve"> that include</w:t>
      </w:r>
      <w:r w:rsidR="002E2F25" w:rsidRPr="00423C1B">
        <w:t xml:space="preserve"> </w:t>
      </w:r>
      <w:r w:rsidRPr="00423C1B">
        <w:t>financial statements and required supplementary information. The report may be obtained by writing to the Department</w:t>
      </w:r>
      <w:r w:rsidR="002E2F25" w:rsidRPr="00423C1B">
        <w:t xml:space="preserve"> </w:t>
      </w:r>
      <w:r w:rsidRPr="00423C1B">
        <w:t xml:space="preserve">of Retirement Systems, PO Box 48380, Olympia, Washington 98504-8380 or online at </w:t>
      </w:r>
      <w:hyperlink r:id="rId52" w:history="1">
        <w:r w:rsidR="00423C1B" w:rsidRPr="007E5378">
          <w:rPr>
            <w:rStyle w:val="Hyperlink"/>
          </w:rPr>
          <w:t>http://www.drs.wa.gov/administration</w:t>
        </w:r>
      </w:hyperlink>
      <w:r w:rsidRPr="00423C1B">
        <w:t>.</w:t>
      </w:r>
    </w:p>
    <w:p w:rsidR="00423C1B" w:rsidRPr="00423C1B" w:rsidRDefault="00423C1B" w:rsidP="002E2F25"/>
    <w:p w:rsidR="00616FEC" w:rsidRPr="00616FEC" w:rsidRDefault="00616FEC" w:rsidP="00616FEC">
      <w:r>
        <w:rPr>
          <w:u w:val="single"/>
        </w:rPr>
        <w:t>Funding Policy</w:t>
      </w:r>
      <w:r>
        <w:t xml:space="preserve">. Each biennium, the state Pension Funding Council adopts PERS and TRS Plan 1 employer contribution rates, Plan 2 employer and employee contribution rates, and Plan 3 employer contribution rates. Employee contribution rates </w:t>
      </w:r>
      <w:r w:rsidRPr="00616FEC">
        <w:t xml:space="preserve">for PERS and TRS Plans 1 are established by statute.  </w:t>
      </w:r>
      <w:r w:rsidR="00E515E3">
        <w:t xml:space="preserve">By statute, </w:t>
      </w:r>
      <w:r w:rsidRPr="00616FEC">
        <w:t>PERS 3 employees may select among six contribution rate options, ranging from 5 to 15 percent.</w:t>
      </w:r>
    </w:p>
    <w:p w:rsidR="00423C1B" w:rsidRPr="00423C1B" w:rsidRDefault="00423C1B" w:rsidP="002E2F25"/>
    <w:p w:rsidR="00113B57" w:rsidRDefault="00113B57" w:rsidP="002E2F25">
      <w:r w:rsidRPr="00423C1B">
        <w:t xml:space="preserve">The required contribution rates expressed as a percentage of current year covered payroll are shown </w:t>
      </w:r>
      <w:r w:rsidR="00FD789A">
        <w:t>in the table below</w:t>
      </w:r>
      <w:r w:rsidRPr="00423C1B">
        <w:t xml:space="preserve">. The </w:t>
      </w:r>
      <w:r w:rsidR="00D20364">
        <w:t>College</w:t>
      </w:r>
      <w:r w:rsidRPr="00423C1B">
        <w:t xml:space="preserve"> and the</w:t>
      </w:r>
      <w:r w:rsidR="002E2F25" w:rsidRPr="00423C1B">
        <w:t xml:space="preserve"> </w:t>
      </w:r>
      <w:r w:rsidRPr="00423C1B">
        <w:t xml:space="preserve">employees made </w:t>
      </w:r>
      <w:r w:rsidR="00E52C59">
        <w:t xml:space="preserve">100% of </w:t>
      </w:r>
      <w:r w:rsidRPr="00423C1B">
        <w:t>required contributions.</w:t>
      </w:r>
    </w:p>
    <w:p w:rsidR="00517122" w:rsidRDefault="00517122" w:rsidP="002E2F25">
      <w:pPr>
        <w:rPr>
          <w:bCs/>
          <w:iCs/>
          <w:u w:val="single"/>
        </w:rPr>
      </w:pPr>
    </w:p>
    <w:p w:rsidR="00113B57" w:rsidRDefault="00113B57" w:rsidP="002E2F25">
      <w:r w:rsidRPr="00476146">
        <w:rPr>
          <w:bCs/>
          <w:iCs/>
          <w:u w:val="single"/>
        </w:rPr>
        <w:t>Contribution Rates and Required Contributions</w:t>
      </w:r>
      <w:r w:rsidR="00476146">
        <w:rPr>
          <w:bCs/>
          <w:iCs/>
          <w:u w:val="single"/>
        </w:rPr>
        <w:t xml:space="preserve">.  </w:t>
      </w:r>
      <w:r w:rsidRPr="001152F2">
        <w:t xml:space="preserve">The </w:t>
      </w:r>
      <w:r w:rsidR="00D20364">
        <w:t>College</w:t>
      </w:r>
      <w:r w:rsidRPr="001152F2">
        <w:t>’s contribution rates and required contributions for the above retirement plans f</w:t>
      </w:r>
      <w:r w:rsidR="001152F2">
        <w:t>or the year</w:t>
      </w:r>
      <w:r w:rsidR="00B74F92">
        <w:t>s</w:t>
      </w:r>
      <w:r w:rsidR="001152F2">
        <w:t xml:space="preserve"> ending </w:t>
      </w:r>
      <w:r w:rsidR="001152F2" w:rsidRPr="00FE7933">
        <w:t xml:space="preserve">June 30, </w:t>
      </w:r>
      <w:r w:rsidR="00CF3782" w:rsidRPr="00FE7933">
        <w:t xml:space="preserve">2014, </w:t>
      </w:r>
      <w:r w:rsidR="001152F2" w:rsidRPr="00FE7933">
        <w:t>201</w:t>
      </w:r>
      <w:r w:rsidR="007949EA" w:rsidRPr="00FE7933">
        <w:t>3</w:t>
      </w:r>
      <w:r w:rsidR="00B74F92" w:rsidRPr="00FE7933">
        <w:t xml:space="preserve">, </w:t>
      </w:r>
      <w:r w:rsidR="00CF3782" w:rsidRPr="00FE7933">
        <w:t xml:space="preserve">and </w:t>
      </w:r>
      <w:r w:rsidR="00B74F92" w:rsidRPr="00FE7933">
        <w:t xml:space="preserve">2012 </w:t>
      </w:r>
      <w:r w:rsidRPr="00FE7933">
        <w:t>are as follows.</w:t>
      </w:r>
      <w:r w:rsidR="00CF3782">
        <w:t xml:space="preserve"> </w:t>
      </w:r>
    </w:p>
    <w:p w:rsidR="00FE7933" w:rsidRPr="001A7A82" w:rsidRDefault="00FE7933" w:rsidP="002E2F25"/>
    <w:bookmarkStart w:id="23" w:name="_MON_1445865919"/>
    <w:bookmarkEnd w:id="23"/>
    <w:p w:rsidR="000E73B3" w:rsidRDefault="00FE7933" w:rsidP="002E2F25">
      <w:r w:rsidRPr="001A7A82">
        <w:object w:dxaOrig="7118" w:dyaOrig="2997">
          <v:shape id="_x0000_i1041" type="#_x0000_t75" style="width:356.4pt;height:170.4pt" o:ole="">
            <v:imagedata r:id="rId53" o:title=""/>
          </v:shape>
          <o:OLEObject Type="Embed" ProgID="Excel.Sheet.12" ShapeID="_x0000_i1041" DrawAspect="Content" ObjectID="_1494923891" r:id="rId54"/>
        </w:object>
      </w:r>
    </w:p>
    <w:p w:rsidR="0054540A" w:rsidRDefault="0054540A" w:rsidP="002E2F25">
      <w:pPr>
        <w:rPr>
          <w:highlight w:val="yellow"/>
        </w:rPr>
      </w:pPr>
    </w:p>
    <w:bookmarkStart w:id="24" w:name="_MON_1469086501"/>
    <w:bookmarkEnd w:id="24"/>
    <w:p w:rsidR="000E73B3" w:rsidRDefault="004A74B9" w:rsidP="002E2F25">
      <w:pPr>
        <w:rPr>
          <w:highlight w:val="yellow"/>
        </w:rPr>
      </w:pPr>
      <w:r w:rsidRPr="000E73B3">
        <w:object w:dxaOrig="9643" w:dyaOrig="3301">
          <v:shape id="_x0000_i1042" type="#_x0000_t75" style="width:483pt;height:210pt" o:ole="">
            <v:imagedata r:id="rId55" o:title=""/>
          </v:shape>
          <o:OLEObject Type="Embed" ProgID="Excel.Sheet.12" ShapeID="_x0000_i1042" DrawAspect="Content" ObjectID="_1494923892" r:id="rId56"/>
        </w:object>
      </w:r>
    </w:p>
    <w:p w:rsidR="000E73B3" w:rsidRDefault="000E73B3" w:rsidP="002E2F25">
      <w:pPr>
        <w:rPr>
          <w:highlight w:val="yellow"/>
        </w:rPr>
      </w:pPr>
    </w:p>
    <w:p w:rsidR="00476146" w:rsidRPr="00A701AA" w:rsidRDefault="00113B57" w:rsidP="002E2F25">
      <w:pPr>
        <w:rPr>
          <w:b/>
          <w:bCs/>
          <w:iCs/>
          <w:color w:val="262626" w:themeColor="text1" w:themeTint="D9"/>
        </w:rPr>
      </w:pPr>
      <w:r w:rsidRPr="00A701AA">
        <w:rPr>
          <w:b/>
          <w:bCs/>
          <w:iCs/>
          <w:color w:val="262626" w:themeColor="text1" w:themeTint="D9"/>
        </w:rPr>
        <w:lastRenderedPageBreak/>
        <w:t xml:space="preserve">State </w:t>
      </w:r>
      <w:r w:rsidR="005C7375" w:rsidRPr="00A701AA">
        <w:rPr>
          <w:b/>
          <w:bCs/>
          <w:iCs/>
          <w:color w:val="262626" w:themeColor="text1" w:themeTint="D9"/>
        </w:rPr>
        <w:t>Board</w:t>
      </w:r>
      <w:r w:rsidRPr="00A701AA">
        <w:rPr>
          <w:b/>
          <w:bCs/>
          <w:iCs/>
          <w:color w:val="262626" w:themeColor="text1" w:themeTint="D9"/>
        </w:rPr>
        <w:t xml:space="preserve"> Retirement Plan</w:t>
      </w:r>
      <w:r w:rsidR="005C7375" w:rsidRPr="00A701AA">
        <w:rPr>
          <w:b/>
          <w:bCs/>
          <w:iCs/>
          <w:color w:val="262626" w:themeColor="text1" w:themeTint="D9"/>
        </w:rPr>
        <w:t xml:space="preserve"> </w:t>
      </w:r>
    </w:p>
    <w:p w:rsidR="00113B57" w:rsidRDefault="00113B57" w:rsidP="002E2F25">
      <w:r w:rsidRPr="00476146">
        <w:rPr>
          <w:u w:val="single"/>
        </w:rPr>
        <w:t>Plan Description</w:t>
      </w:r>
      <w:r w:rsidRPr="001152F2">
        <w:t xml:space="preserve">. </w:t>
      </w:r>
      <w:r w:rsidR="00C93296">
        <w:t xml:space="preserve"> </w:t>
      </w:r>
      <w:r w:rsidRPr="001152F2">
        <w:t>Faculty</w:t>
      </w:r>
      <w:r w:rsidR="00476146">
        <w:t xml:space="preserve"> and exempt administrative and professional </w:t>
      </w:r>
      <w:r w:rsidRPr="001152F2">
        <w:t xml:space="preserve">staff are eligible to participate in </w:t>
      </w:r>
      <w:r w:rsidRPr="00476146">
        <w:t>S</w:t>
      </w:r>
      <w:r w:rsidR="00476146">
        <w:t>B</w:t>
      </w:r>
      <w:r w:rsidRPr="00476146">
        <w:t xml:space="preserve">RP. </w:t>
      </w:r>
      <w:r w:rsidR="00476146">
        <w:t xml:space="preserve"> </w:t>
      </w:r>
      <w:r w:rsidRPr="00476146">
        <w:t>The Teacher’s</w:t>
      </w:r>
      <w:r w:rsidRPr="001152F2">
        <w:t xml:space="preserve"> Insurance and Annuity Association</w:t>
      </w:r>
      <w:r w:rsidR="002E2F25" w:rsidRPr="001152F2">
        <w:t xml:space="preserve"> </w:t>
      </w:r>
      <w:r w:rsidRPr="001152F2">
        <w:t>(TIAA) and the College Retirement Equities Fund (CREF) are the companion organizations through which individual retirement annuities are</w:t>
      </w:r>
      <w:r w:rsidR="002E2F25" w:rsidRPr="001152F2">
        <w:t xml:space="preserve"> </w:t>
      </w:r>
      <w:r w:rsidRPr="001152F2">
        <w:t>purchased.</w:t>
      </w:r>
      <w:r w:rsidR="00476146">
        <w:t xml:space="preserve"> </w:t>
      </w:r>
      <w:r w:rsidRPr="001152F2">
        <w:t xml:space="preserve"> Employees have at all times a 100% vested interest in their accumulations.</w:t>
      </w:r>
    </w:p>
    <w:p w:rsidR="001152F2" w:rsidRPr="001152F2" w:rsidRDefault="001152F2" w:rsidP="002E2F25"/>
    <w:p w:rsidR="00113B57" w:rsidRDefault="00113B57" w:rsidP="002E2F25">
      <w:r w:rsidRPr="00D161D9">
        <w:t>TIAA-CREF benefits are payable upon termination at the member’s option unless the participant is re-employed in another institution which</w:t>
      </w:r>
      <w:r w:rsidR="002E2F25" w:rsidRPr="00D161D9">
        <w:t xml:space="preserve"> </w:t>
      </w:r>
      <w:r w:rsidRPr="00D161D9">
        <w:t>participates in TIAA-CREF.</w:t>
      </w:r>
    </w:p>
    <w:p w:rsidR="00D161D9" w:rsidRPr="00D161D9" w:rsidRDefault="00D161D9" w:rsidP="002E2F25"/>
    <w:p w:rsidR="00113B57" w:rsidRDefault="00113B57" w:rsidP="002E2F25">
      <w:r w:rsidRPr="00D161D9">
        <w:t>The Plan has a supplemental payment component that guarantees a minimum retirement benefit goal based upon a one-time calculation at each</w:t>
      </w:r>
      <w:r w:rsidR="002E2F25" w:rsidRPr="00D161D9">
        <w:t xml:space="preserve"> </w:t>
      </w:r>
      <w:r w:rsidRPr="00D161D9">
        <w:t xml:space="preserve">employee’s retirement date. </w:t>
      </w:r>
      <w:r w:rsidR="00AE13A6">
        <w:t xml:space="preserve"> </w:t>
      </w:r>
      <w:r w:rsidRPr="00D161D9">
        <w:t xml:space="preserve">The </w:t>
      </w:r>
      <w:r w:rsidR="00C93296">
        <w:t>SBCTC</w:t>
      </w:r>
      <w:r w:rsidRPr="00D161D9">
        <w:t xml:space="preserve"> makes direct payments </w:t>
      </w:r>
      <w:r w:rsidR="00C93296">
        <w:t xml:space="preserve">on behalf of the College </w:t>
      </w:r>
      <w:r w:rsidRPr="00D161D9">
        <w:t>to qualifying retirees when the retirement benefit provided by TIAA-CREF does</w:t>
      </w:r>
      <w:r w:rsidR="002E2F25" w:rsidRPr="00D161D9">
        <w:t xml:space="preserve"> </w:t>
      </w:r>
      <w:r w:rsidRPr="00D161D9">
        <w:t>not meet the benefit goal.</w:t>
      </w:r>
      <w:r w:rsidR="00AE13A6">
        <w:t xml:space="preserve"> </w:t>
      </w:r>
      <w:r w:rsidRPr="00D161D9">
        <w:t xml:space="preserve"> Employees are eligible for a non-reduced supplemental payment after the age of 65 with ten years of full-time service.</w:t>
      </w:r>
    </w:p>
    <w:p w:rsidR="00D161D9" w:rsidRPr="00D161D9" w:rsidRDefault="00D161D9" w:rsidP="002E2F25"/>
    <w:p w:rsidR="00113B57" w:rsidRDefault="00113B57" w:rsidP="002E2F25">
      <w:r w:rsidRPr="00D161D9">
        <w:t>The minimum retirement benefit goal is 2% of the average annual salary for each year of full-time service up to a maximum of 25 years. However,</w:t>
      </w:r>
      <w:r w:rsidR="002E2F25" w:rsidRPr="00D161D9">
        <w:t xml:space="preserve"> </w:t>
      </w:r>
      <w:r w:rsidRPr="00D161D9">
        <w:t>if the participant does not elect to make the 10% TIAA-CREF contribution after age 49, the benefit goal is 1.5% for each year of full-time service</w:t>
      </w:r>
      <w:r w:rsidR="002E2F25" w:rsidRPr="00D161D9">
        <w:t xml:space="preserve"> </w:t>
      </w:r>
      <w:r w:rsidRPr="00D161D9">
        <w:t>for those years the lower contribution rate is selected.</w:t>
      </w:r>
    </w:p>
    <w:p w:rsidR="00D161D9" w:rsidRPr="00D161D9" w:rsidRDefault="00D161D9" w:rsidP="002E2F25"/>
    <w:p w:rsidR="00113B57" w:rsidRDefault="00113B57" w:rsidP="002E2F25">
      <w:r w:rsidRPr="00D161D9">
        <w:t xml:space="preserve">The </w:t>
      </w:r>
      <w:r w:rsidR="00F86E46">
        <w:t>S</w:t>
      </w:r>
      <w:r w:rsidR="005C7375">
        <w:t xml:space="preserve">tate Board for Community and Technical Colleges </w:t>
      </w:r>
      <w:r w:rsidR="00F86E46">
        <w:t>is</w:t>
      </w:r>
      <w:r w:rsidRPr="00D161D9">
        <w:t xml:space="preserve"> authorized to amend benefit provisions under RCW 28B.10.400. </w:t>
      </w:r>
      <w:r w:rsidR="00F86E46">
        <w:t xml:space="preserve"> </w:t>
      </w:r>
      <w:r w:rsidRPr="00D161D9">
        <w:t>In 2011, the plan was amended to</w:t>
      </w:r>
      <w:r w:rsidR="002E2F25" w:rsidRPr="00D161D9">
        <w:t xml:space="preserve"> </w:t>
      </w:r>
      <w:r w:rsidRPr="00D161D9">
        <w:t>eliminate the supplemental benefit provisions for all employees hired after June 30, 2011.</w:t>
      </w:r>
    </w:p>
    <w:p w:rsidR="00D161D9" w:rsidRPr="00D161D9" w:rsidRDefault="00D161D9" w:rsidP="002E2F25"/>
    <w:p w:rsidR="00435009" w:rsidRDefault="00435009" w:rsidP="00435009">
      <w:r>
        <w:rPr>
          <w:u w:val="single"/>
        </w:rPr>
        <w:t>Contributions</w:t>
      </w:r>
      <w:r>
        <w:t xml:space="preserve">. Contribution rates for the SBRP (TIAA-CREF), which are based upon age, are 5%, 7.5% or 10% of salary and are matched by the College.  Employee and employer contributions </w:t>
      </w:r>
      <w:r w:rsidR="00CF3782">
        <w:t>for the year ended June 30, 2014</w:t>
      </w:r>
      <w:r w:rsidR="00272ABF">
        <w:t xml:space="preserve"> </w:t>
      </w:r>
      <w:r w:rsidR="00272ABF" w:rsidRPr="00272ABF">
        <w:t xml:space="preserve">were </w:t>
      </w:r>
      <w:r w:rsidRPr="00272ABF">
        <w:t>$</w:t>
      </w:r>
      <w:r w:rsidR="004E4A5D">
        <w:t>1,765,808.44 for employer and $1,765,922.22</w:t>
      </w:r>
      <w:r w:rsidR="00272ABF" w:rsidRPr="00272ABF">
        <w:t xml:space="preserve"> for employees</w:t>
      </w:r>
      <w:r w:rsidR="00272ABF">
        <w:t>.</w:t>
      </w:r>
      <w:r>
        <w:t xml:space="preserve">  </w:t>
      </w:r>
    </w:p>
    <w:p w:rsidR="00435009" w:rsidRDefault="00435009" w:rsidP="00435009"/>
    <w:p w:rsidR="00435009" w:rsidRDefault="00435009" w:rsidP="00435009">
      <w:r>
        <w:t xml:space="preserve">The SBRP supplemental pension benefits are unfunded.  </w:t>
      </w:r>
      <w:r w:rsidR="00CF3782">
        <w:t>For the year ended June 30, 2014</w:t>
      </w:r>
      <w:r>
        <w:t xml:space="preserve">, supplemental benefits were paid by the SBCTC on behalf of the College in the </w:t>
      </w:r>
      <w:r w:rsidRPr="00BA179D">
        <w:t>amount of $</w:t>
      </w:r>
      <w:r w:rsidR="00BA179D" w:rsidRPr="00BA179D">
        <w:t>23,485.73</w:t>
      </w:r>
      <w:r w:rsidRPr="00BA179D">
        <w:t>.</w:t>
      </w:r>
      <w:r>
        <w:t>  In 2012, legislation (RCW 28B.10.423) was passed requiring colleges to pay into a Supplemental Benefit Fund managed by the State Investment Board, for the purpose of funding future bene</w:t>
      </w:r>
      <w:r w:rsidR="0043136B">
        <w:t>fit obligations.  During FY 2014</w:t>
      </w:r>
      <w:r>
        <w:t xml:space="preserve">, the College paid into this fund at a rate </w:t>
      </w:r>
      <w:r w:rsidRPr="00305067">
        <w:t>of 0.5% of</w:t>
      </w:r>
      <w:r>
        <w:t xml:space="preserve"> covered salaries, </w:t>
      </w:r>
      <w:r w:rsidRPr="00305067">
        <w:t>totaling $</w:t>
      </w:r>
      <w:r w:rsidR="00305067" w:rsidRPr="00305067">
        <w:t>98,477.62</w:t>
      </w:r>
      <w:r w:rsidR="00CF3782" w:rsidRPr="00305067">
        <w:t>.  As</w:t>
      </w:r>
      <w:r w:rsidR="00CF3782">
        <w:t xml:space="preserve"> of June 30, 2014</w:t>
      </w:r>
      <w:r>
        <w:t xml:space="preserve">, the Community and Technical College system accounted for </w:t>
      </w:r>
      <w:r w:rsidRPr="00192A1A">
        <w:t>$</w:t>
      </w:r>
      <w:r w:rsidR="00192A1A" w:rsidRPr="00192A1A">
        <w:t>5,008,355</w:t>
      </w:r>
      <w:r w:rsidRPr="00192A1A">
        <w:t xml:space="preserve"> of the</w:t>
      </w:r>
      <w:r>
        <w:t xml:space="preserve"> fund balance.</w:t>
      </w:r>
    </w:p>
    <w:p w:rsidR="0043136B" w:rsidRPr="0043136B" w:rsidRDefault="0043136B" w:rsidP="002E2F25">
      <w:pPr>
        <w:rPr>
          <w:highlight w:val="yellow"/>
        </w:rPr>
      </w:pPr>
    </w:p>
    <w:p w:rsidR="002F498A" w:rsidRPr="00A701AA" w:rsidRDefault="002F498A" w:rsidP="002F498A">
      <w:pPr>
        <w:autoSpaceDE w:val="0"/>
        <w:autoSpaceDN w:val="0"/>
        <w:adjustRightInd w:val="0"/>
        <w:rPr>
          <w:rFonts w:cs="Times New Roman"/>
          <w:b/>
          <w:color w:val="262626" w:themeColor="text1" w:themeTint="D9"/>
        </w:rPr>
      </w:pPr>
      <w:r w:rsidRPr="00A701AA">
        <w:rPr>
          <w:rFonts w:cs="Times New Roman"/>
          <w:b/>
          <w:color w:val="262626" w:themeColor="text1" w:themeTint="D9"/>
        </w:rPr>
        <w:t>Washington State Deferred Compensation Program</w:t>
      </w:r>
    </w:p>
    <w:p w:rsidR="002F498A" w:rsidRPr="00EE1311" w:rsidRDefault="002F498A" w:rsidP="002F498A">
      <w:pPr>
        <w:autoSpaceDE w:val="0"/>
        <w:autoSpaceDN w:val="0"/>
        <w:adjustRightInd w:val="0"/>
        <w:rPr>
          <w:rFonts w:cs="Times New Roman"/>
        </w:rPr>
      </w:pPr>
      <w:r w:rsidRPr="00EE1311">
        <w:rPr>
          <w:rFonts w:cs="Times New Roman"/>
        </w:rPr>
        <w:t>The College, through the state of Washington, offers its employees a deferred compensation plan created</w:t>
      </w:r>
      <w:r>
        <w:rPr>
          <w:rFonts w:cs="Times New Roman"/>
        </w:rPr>
        <w:t xml:space="preserve"> </w:t>
      </w:r>
      <w:r w:rsidRPr="00EE1311">
        <w:rPr>
          <w:rFonts w:cs="Times New Roman"/>
        </w:rPr>
        <w:t>under Internal Revenue Code Section 457. The plan, available to all State employees, permits individuals</w:t>
      </w:r>
      <w:r>
        <w:rPr>
          <w:rFonts w:cs="Times New Roman"/>
        </w:rPr>
        <w:t xml:space="preserve"> </w:t>
      </w:r>
      <w:r w:rsidRPr="00EE1311">
        <w:rPr>
          <w:rFonts w:cs="Times New Roman"/>
        </w:rPr>
        <w:t>to defer a portion of their salary until future years. The state of Washington administers the plan on</w:t>
      </w:r>
      <w:r>
        <w:rPr>
          <w:rFonts w:cs="Times New Roman"/>
        </w:rPr>
        <w:t xml:space="preserve"> </w:t>
      </w:r>
      <w:r w:rsidRPr="00EE1311">
        <w:rPr>
          <w:rFonts w:cs="Times New Roman"/>
        </w:rPr>
        <w:t>behalf of the College’s employees. The deferred compensation is not available to employees until</w:t>
      </w:r>
      <w:r>
        <w:rPr>
          <w:rFonts w:cs="Times New Roman"/>
        </w:rPr>
        <w:t xml:space="preserve"> </w:t>
      </w:r>
      <w:r w:rsidRPr="00EE1311">
        <w:rPr>
          <w:rFonts w:cs="Times New Roman"/>
        </w:rPr>
        <w:t>termination, retirement or unforeseeable financial emergency.</w:t>
      </w:r>
      <w:r w:rsidR="007F6C41">
        <w:rPr>
          <w:rFonts w:cs="Times New Roman"/>
        </w:rPr>
        <w:t xml:space="preserve">  The College does not have access to the funds.</w:t>
      </w:r>
    </w:p>
    <w:p w:rsidR="002F498A" w:rsidRPr="00C13603" w:rsidRDefault="002F498A" w:rsidP="002E2F25">
      <w:pPr>
        <w:rPr>
          <w:highlight w:val="yellow"/>
        </w:rPr>
      </w:pPr>
    </w:p>
    <w:p w:rsidR="00113B57" w:rsidRPr="00A701AA" w:rsidRDefault="00113B57" w:rsidP="002E2F25">
      <w:pPr>
        <w:rPr>
          <w:b/>
          <w:bCs/>
          <w:iCs/>
          <w:color w:val="262626" w:themeColor="text1" w:themeTint="D9"/>
        </w:rPr>
      </w:pPr>
      <w:r w:rsidRPr="00A701AA">
        <w:rPr>
          <w:b/>
          <w:bCs/>
          <w:iCs/>
          <w:color w:val="262626" w:themeColor="text1" w:themeTint="D9"/>
        </w:rPr>
        <w:t>Other Post-Employment Benefits</w:t>
      </w:r>
    </w:p>
    <w:p w:rsidR="00EA0BB9" w:rsidRDefault="00113B57" w:rsidP="002E2F25">
      <w:pPr>
        <w:rPr>
          <w:highlight w:val="yellow"/>
        </w:rPr>
      </w:pPr>
      <w:r w:rsidRPr="00EA0BB9">
        <w:t>Health care and life insurance programs for employees of the state of Washington are administered by the Washington State Health Care</w:t>
      </w:r>
      <w:r w:rsidR="002E2F25" w:rsidRPr="00EA0BB9">
        <w:t xml:space="preserve"> </w:t>
      </w:r>
      <w:r w:rsidRPr="00EA0BB9">
        <w:t>Authority (HCA). The HCA calculates the premium amounts each year that are sufficient to fund the statewide health and life insurance programs</w:t>
      </w:r>
      <w:r w:rsidR="002E2F25" w:rsidRPr="00EA0BB9">
        <w:t xml:space="preserve"> </w:t>
      </w:r>
      <w:r w:rsidRPr="00EA0BB9">
        <w:t>on a pay-as-you-go basis. These costs are passed through to individual state agencies based upon active employee headcount; the agencies pay</w:t>
      </w:r>
      <w:r w:rsidR="002E2F25" w:rsidRPr="00EA0BB9">
        <w:t xml:space="preserve"> </w:t>
      </w:r>
      <w:r w:rsidRPr="00EA0BB9">
        <w:t>the premiums for active employees to the HCA. The agencies may also charge employees for certain higher cost options elected by the employee.</w:t>
      </w:r>
      <w:r w:rsidR="002E2F25" w:rsidRPr="00EA0BB9">
        <w:t xml:space="preserve"> </w:t>
      </w:r>
    </w:p>
    <w:p w:rsidR="00EA0BB9" w:rsidRDefault="00EA0BB9" w:rsidP="002E2F25">
      <w:pPr>
        <w:rPr>
          <w:highlight w:val="yellow"/>
        </w:rPr>
      </w:pPr>
    </w:p>
    <w:p w:rsidR="00EA0BB9" w:rsidRDefault="00113B57" w:rsidP="002E2F25">
      <w:pPr>
        <w:rPr>
          <w:highlight w:val="yellow"/>
        </w:rPr>
      </w:pPr>
      <w:r w:rsidRPr="00EA0BB9">
        <w:t>State of Washington retirees may elect coverage through state health and life insurance plans, for which they pay less than the full cost of the</w:t>
      </w:r>
      <w:r w:rsidR="002E2F25" w:rsidRPr="00EA0BB9">
        <w:t xml:space="preserve"> </w:t>
      </w:r>
      <w:r w:rsidRPr="00EA0BB9">
        <w:t xml:space="preserve">benefits, based on their age and other demographic factors. The health care </w:t>
      </w:r>
      <w:r w:rsidRPr="00EA0BB9">
        <w:lastRenderedPageBreak/>
        <w:t>premiums for active employees, which are paid by the agency</w:t>
      </w:r>
      <w:r w:rsidR="002E2F25" w:rsidRPr="00EA0BB9">
        <w:t xml:space="preserve"> </w:t>
      </w:r>
      <w:r w:rsidRPr="00EA0BB9">
        <w:t>during the employees’ working careers, subsidize the “underpayments” of retirees. An additional factor in the Other Post-Employment Benefits</w:t>
      </w:r>
      <w:r w:rsidR="002E2F25" w:rsidRPr="00EA0BB9">
        <w:t xml:space="preserve"> </w:t>
      </w:r>
      <w:r w:rsidRPr="00EA0BB9">
        <w:t>(OPEB) obligation is a payment that is required by the State Legislature to reduce the premiums for retirees covered by Medicare (an “explicit”</w:t>
      </w:r>
      <w:r w:rsidR="002E2F25" w:rsidRPr="00EA0BB9">
        <w:t xml:space="preserve"> </w:t>
      </w:r>
      <w:r w:rsidRPr="00EA0BB9">
        <w:t>subsidy). This explicit subsidy is also passed through to state agencies via active employee rates charged to the agency. There is no formal state or</w:t>
      </w:r>
      <w:r w:rsidR="002E2F25" w:rsidRPr="00EA0BB9">
        <w:t xml:space="preserve"> </w:t>
      </w:r>
      <w:r w:rsidR="00D20364">
        <w:t>College</w:t>
      </w:r>
      <w:r w:rsidRPr="00EA0BB9">
        <w:t xml:space="preserve"> plan that underlies the subsidy of</w:t>
      </w:r>
      <w:r w:rsidRPr="00C13603">
        <w:rPr>
          <w:highlight w:val="yellow"/>
        </w:rPr>
        <w:t xml:space="preserve"> </w:t>
      </w:r>
      <w:r w:rsidRPr="00EA0BB9">
        <w:t>retiree health and life insurance.</w:t>
      </w:r>
      <w:r w:rsidR="002E2F25" w:rsidRPr="00EA0BB9">
        <w:t xml:space="preserve"> </w:t>
      </w:r>
    </w:p>
    <w:p w:rsidR="00EA0BB9" w:rsidRDefault="00EA0BB9" w:rsidP="002E2F25">
      <w:pPr>
        <w:rPr>
          <w:highlight w:val="yellow"/>
        </w:rPr>
      </w:pPr>
    </w:p>
    <w:p w:rsidR="00EA0BB9" w:rsidRDefault="00160600" w:rsidP="002E2F25">
      <w:r>
        <w:t xml:space="preserve">The actuary allocated the statewide disclosure information to the community and technical college at the system level. The SBCTC further allocated </w:t>
      </w:r>
      <w:r w:rsidRPr="008C0857">
        <w:t xml:space="preserve">these amounts among the colleges. The College’s share of the BASB 45 actuarially accrued liability (AAL) is </w:t>
      </w:r>
      <w:r w:rsidR="008C0857" w:rsidRPr="008C0857">
        <w:t>$16,329,975</w:t>
      </w:r>
      <w:r w:rsidRPr="008C0857">
        <w:t xml:space="preserve">, with an annual required contribution (ARC) of </w:t>
      </w:r>
      <w:r w:rsidR="008C0857" w:rsidRPr="008C0857">
        <w:t>$1,595,447</w:t>
      </w:r>
      <w:r w:rsidRPr="008C0857">
        <w:t xml:space="preserve">. The ARC represents the amortization of the liability for the fiscal year 2014 plus the current expense for active employees, which is reduced by the current contributions of approximately </w:t>
      </w:r>
      <w:r w:rsidR="008C0857" w:rsidRPr="008C0857">
        <w:t>$300,189</w:t>
      </w:r>
      <w:r w:rsidRPr="008C0857">
        <w:t xml:space="preserve">. The College’s net OPEB obligation (NOO) at June 30, 2014 was approximately </w:t>
      </w:r>
      <w:r w:rsidR="008C0857" w:rsidRPr="008C0857">
        <w:t>$1,295,258</w:t>
      </w:r>
      <w:r w:rsidRPr="008C0857">
        <w:t>. This amount is not included in the College’s financial statements.</w:t>
      </w:r>
      <w:r>
        <w:t xml:space="preserve"> </w:t>
      </w:r>
    </w:p>
    <w:p w:rsidR="00160600" w:rsidRPr="00EA0BB9" w:rsidRDefault="00160600" w:rsidP="002E2F25"/>
    <w:p w:rsidR="00113B57" w:rsidRPr="00EA0BB9" w:rsidRDefault="00EA0BB9" w:rsidP="002E2F25">
      <w:r>
        <w:t xml:space="preserve">The </w:t>
      </w:r>
      <w:r w:rsidR="00D20364">
        <w:t>College</w:t>
      </w:r>
      <w:r>
        <w:t xml:space="preserve"> </w:t>
      </w:r>
      <w:r w:rsidRPr="00FE7933">
        <w:t>paid $</w:t>
      </w:r>
      <w:r w:rsidR="00FE7933" w:rsidRPr="00FE7933">
        <w:t>5</w:t>
      </w:r>
      <w:r w:rsidR="00FE7933">
        <w:t>,840,190.39</w:t>
      </w:r>
      <w:r w:rsidR="00C106B4">
        <w:t xml:space="preserve"> </w:t>
      </w:r>
      <w:r>
        <w:t>for healthcare expenses in 201</w:t>
      </w:r>
      <w:r w:rsidR="00CF3782">
        <w:t>4</w:t>
      </w:r>
      <w:r w:rsidR="00113B57" w:rsidRPr="00EA0BB9">
        <w:t>, which included its pay-as-you-go portion of the OPEB liability.</w:t>
      </w:r>
    </w:p>
    <w:p w:rsidR="00550221" w:rsidRDefault="00550221" w:rsidP="005351F6">
      <w:pPr>
        <w:rPr>
          <w:highlight w:val="yellow"/>
        </w:rPr>
      </w:pPr>
    </w:p>
    <w:p w:rsidR="00113B57" w:rsidRPr="009211A5" w:rsidRDefault="00915CD6" w:rsidP="005351F6">
      <w:pPr>
        <w:rPr>
          <w:b/>
          <w:bCs/>
          <w:color w:val="632423" w:themeColor="accent2" w:themeShade="80"/>
        </w:rPr>
      </w:pPr>
      <w:r w:rsidRPr="009211A5">
        <w:rPr>
          <w:b/>
          <w:bCs/>
          <w:color w:val="632423" w:themeColor="accent2" w:themeShade="80"/>
        </w:rPr>
        <w:t>1</w:t>
      </w:r>
      <w:r w:rsidR="0054540A">
        <w:rPr>
          <w:b/>
          <w:bCs/>
          <w:color w:val="632423" w:themeColor="accent2" w:themeShade="80"/>
        </w:rPr>
        <w:t>4</w:t>
      </w:r>
      <w:r w:rsidR="00113B57" w:rsidRPr="009211A5">
        <w:rPr>
          <w:b/>
          <w:bCs/>
          <w:color w:val="632423" w:themeColor="accent2" w:themeShade="80"/>
        </w:rPr>
        <w:t>. Operating Expenses by Program</w:t>
      </w:r>
    </w:p>
    <w:p w:rsidR="007879BC" w:rsidRDefault="00113B57" w:rsidP="005351F6">
      <w:r w:rsidRPr="00B63E2A">
        <w:t>In the Statement of Revenues, Expenses and Changes in Net Assets, operating expenses are displayed by natural classifications, such as salaries,</w:t>
      </w:r>
      <w:r w:rsidR="005351F6" w:rsidRPr="00B63E2A">
        <w:t xml:space="preserve"> </w:t>
      </w:r>
      <w:r w:rsidRPr="00B63E2A">
        <w:t>benefits, and supplies. The table below summarizes operating expenses by program or function such as instruction, research, and academic</w:t>
      </w:r>
      <w:r w:rsidR="005351F6" w:rsidRPr="00B63E2A">
        <w:t xml:space="preserve"> </w:t>
      </w:r>
      <w:r w:rsidRPr="00B63E2A">
        <w:t>support. The following table lists operating expenses by program f</w:t>
      </w:r>
      <w:r w:rsidR="00B63E2A">
        <w:t>or the year ending June 30, 201</w:t>
      </w:r>
      <w:r w:rsidR="00CF3782">
        <w:t>4</w:t>
      </w:r>
      <w:r w:rsidRPr="00B63E2A">
        <w:t>.</w:t>
      </w:r>
    </w:p>
    <w:p w:rsidR="00FE7933" w:rsidRDefault="00FE7933" w:rsidP="005351F6"/>
    <w:bookmarkStart w:id="25" w:name="_MON_1445866090"/>
    <w:bookmarkEnd w:id="25"/>
    <w:p w:rsidR="00113B57" w:rsidRDefault="009E3700" w:rsidP="000423C6">
      <w:r>
        <w:object w:dxaOrig="6805" w:dyaOrig="2968">
          <v:shape id="_x0000_i1043" type="#_x0000_t75" style="width:341.4pt;height:175.2pt" o:ole="">
            <v:imagedata r:id="rId57" o:title=""/>
          </v:shape>
          <o:OLEObject Type="Embed" ProgID="Excel.Sheet.12" ShapeID="_x0000_i1043" DrawAspect="Content" ObjectID="_1494923893" r:id="rId58"/>
        </w:object>
      </w:r>
    </w:p>
    <w:p w:rsidR="0054540A" w:rsidRPr="009211A5" w:rsidRDefault="0054540A" w:rsidP="000423C6"/>
    <w:p w:rsidR="00113B57" w:rsidRPr="009211A5" w:rsidRDefault="00915CD6" w:rsidP="000423C6">
      <w:pPr>
        <w:rPr>
          <w:b/>
          <w:bCs/>
          <w:color w:val="632423" w:themeColor="accent2" w:themeShade="80"/>
        </w:rPr>
      </w:pPr>
      <w:r w:rsidRPr="009211A5">
        <w:rPr>
          <w:b/>
          <w:bCs/>
          <w:color w:val="632423" w:themeColor="accent2" w:themeShade="80"/>
        </w:rPr>
        <w:t>1</w:t>
      </w:r>
      <w:r w:rsidR="0054540A">
        <w:rPr>
          <w:b/>
          <w:bCs/>
          <w:color w:val="632423" w:themeColor="accent2" w:themeShade="80"/>
        </w:rPr>
        <w:t>5</w:t>
      </w:r>
      <w:r w:rsidR="00113B57" w:rsidRPr="009211A5">
        <w:rPr>
          <w:b/>
          <w:bCs/>
          <w:color w:val="632423" w:themeColor="accent2" w:themeShade="80"/>
        </w:rPr>
        <w:t>. Commitments and Contingencies</w:t>
      </w:r>
    </w:p>
    <w:p w:rsidR="000423C6" w:rsidRDefault="00113B57" w:rsidP="000423C6">
      <w:r w:rsidRPr="00954E47">
        <w:t>There is a class action filed against the State of Washington on behalf of certain employees alleging improper denial of healthcare benefits.</w:t>
      </w:r>
      <w:r w:rsidR="005351F6" w:rsidRPr="00954E47">
        <w:t xml:space="preserve"> </w:t>
      </w:r>
      <w:r w:rsidRPr="00954E47">
        <w:t xml:space="preserve">Although </w:t>
      </w:r>
      <w:r w:rsidR="000423C6">
        <w:t>the College</w:t>
      </w:r>
      <w:r w:rsidRPr="00954E47">
        <w:t xml:space="preserve"> has not been named as a defendant in the lawsuit, some of the class members are current or former employees of the </w:t>
      </w:r>
      <w:r w:rsidR="00D20364">
        <w:t>College</w:t>
      </w:r>
      <w:r w:rsidRPr="00954E47">
        <w:t>.</w:t>
      </w:r>
      <w:r w:rsidR="005351F6" w:rsidRPr="00954E47">
        <w:t xml:space="preserve"> </w:t>
      </w:r>
      <w:r w:rsidRPr="00954E47">
        <w:t xml:space="preserve">Potentially, the state could assess the </w:t>
      </w:r>
      <w:r w:rsidR="00D20364">
        <w:t>College</w:t>
      </w:r>
      <w:r w:rsidRPr="00954E47">
        <w:t xml:space="preserve"> with a material share of any amount paid in the event of a settlement or judgment. Due to the</w:t>
      </w:r>
      <w:r w:rsidR="005351F6" w:rsidRPr="00954E47">
        <w:t xml:space="preserve"> </w:t>
      </w:r>
      <w:r w:rsidRPr="00954E47">
        <w:t xml:space="preserve">status of the lawsuit, the impact upon the </w:t>
      </w:r>
      <w:r w:rsidR="00D20364">
        <w:t>College</w:t>
      </w:r>
      <w:r w:rsidRPr="00954E47">
        <w:t xml:space="preserve"> cannot be assessed with reasonable certainty at present.</w:t>
      </w:r>
      <w:r w:rsidR="000423C6">
        <w:t xml:space="preserve">  </w:t>
      </w:r>
    </w:p>
    <w:p w:rsidR="000423C6" w:rsidRDefault="000423C6" w:rsidP="000423C6"/>
    <w:p w:rsidR="00EA0BB9" w:rsidRPr="00954E47" w:rsidRDefault="00113B57" w:rsidP="000423C6">
      <w:r w:rsidRPr="00954E47">
        <w:t xml:space="preserve">Additionally, the </w:t>
      </w:r>
      <w:r w:rsidR="00D20364">
        <w:t>College</w:t>
      </w:r>
      <w:r w:rsidRPr="00954E47">
        <w:t xml:space="preserve"> is </w:t>
      </w:r>
      <w:r w:rsidRPr="00070F87">
        <w:t>engaged in various legal actions in the ordinary course of business. Management does not believe the ultimate</w:t>
      </w:r>
      <w:r w:rsidR="005351F6" w:rsidRPr="00070F87">
        <w:t xml:space="preserve"> </w:t>
      </w:r>
      <w:r w:rsidRPr="00070F87">
        <w:t>outcome of these actions will have a material adverse effect on the financial statement.</w:t>
      </w:r>
      <w:r w:rsidR="005351F6" w:rsidRPr="00954E47">
        <w:t xml:space="preserve"> </w:t>
      </w:r>
    </w:p>
    <w:p w:rsidR="00EA0BB9" w:rsidRDefault="00EA0BB9" w:rsidP="005351F6">
      <w:pPr>
        <w:rPr>
          <w:highlight w:val="yellow"/>
        </w:rPr>
      </w:pPr>
    </w:p>
    <w:p w:rsidR="00113B57" w:rsidRPr="00EA0BB9" w:rsidRDefault="00113B57" w:rsidP="005351F6">
      <w:r w:rsidRPr="00EA0BB9">
        <w:t xml:space="preserve">The </w:t>
      </w:r>
      <w:r w:rsidR="00D20364">
        <w:t>College</w:t>
      </w:r>
      <w:r w:rsidR="00EA0BB9">
        <w:t xml:space="preserve"> has commitments </w:t>
      </w:r>
      <w:r w:rsidR="00EA0BB9" w:rsidRPr="00070F87">
        <w:t>of $</w:t>
      </w:r>
      <w:r w:rsidR="00070F87" w:rsidRPr="00070F87">
        <w:t>5,427</w:t>
      </w:r>
      <w:r w:rsidR="00070F87">
        <w:t>,503.11</w:t>
      </w:r>
      <w:r w:rsidR="00C106B4">
        <w:t xml:space="preserve"> </w:t>
      </w:r>
      <w:r w:rsidRPr="00EA0BB9">
        <w:t>for various capital improvement projects that include construction and completion of new</w:t>
      </w:r>
      <w:r w:rsidR="005351F6" w:rsidRPr="00EA0BB9">
        <w:t xml:space="preserve"> </w:t>
      </w:r>
      <w:r w:rsidRPr="00EA0BB9">
        <w:t>buildings and renovations of existing buildings.</w:t>
      </w:r>
    </w:p>
    <w:p w:rsidR="00B63E2A" w:rsidRPr="00C13603" w:rsidRDefault="00B63E2A" w:rsidP="005351F6">
      <w:pPr>
        <w:rPr>
          <w:highlight w:val="yellow"/>
        </w:rPr>
      </w:pPr>
    </w:p>
    <w:p w:rsidR="00AF08AA" w:rsidRDefault="00AF08AA" w:rsidP="005351F6">
      <w:pPr>
        <w:rPr>
          <w:b/>
          <w:bCs/>
          <w:color w:val="632423" w:themeColor="accent2" w:themeShade="80"/>
        </w:rPr>
      </w:pPr>
    </w:p>
    <w:p w:rsidR="00113B57" w:rsidRPr="009211A5" w:rsidRDefault="0054540A" w:rsidP="005351F6">
      <w:pPr>
        <w:rPr>
          <w:b/>
          <w:bCs/>
          <w:color w:val="632423" w:themeColor="accent2" w:themeShade="80"/>
        </w:rPr>
      </w:pPr>
      <w:r>
        <w:rPr>
          <w:b/>
          <w:bCs/>
          <w:color w:val="632423" w:themeColor="accent2" w:themeShade="80"/>
        </w:rPr>
        <w:t>16</w:t>
      </w:r>
      <w:r w:rsidR="00113B57" w:rsidRPr="009211A5">
        <w:rPr>
          <w:b/>
          <w:bCs/>
          <w:color w:val="632423" w:themeColor="accent2" w:themeShade="80"/>
        </w:rPr>
        <w:t>. Subsequent Events</w:t>
      </w:r>
    </w:p>
    <w:p w:rsidR="00C106B4" w:rsidRPr="00C106B4" w:rsidRDefault="00070F87" w:rsidP="000423C6">
      <w:r>
        <w:t xml:space="preserve">The College does not have any subsequent events as of June 30, 2014 to report. </w:t>
      </w:r>
    </w:p>
    <w:p w:rsidR="00C106B4" w:rsidRPr="00C106B4" w:rsidRDefault="00C106B4" w:rsidP="00D0793D"/>
    <w:p w:rsidR="00070F87" w:rsidRDefault="00070F87" w:rsidP="00D0793D"/>
    <w:p w:rsidR="009D22CB" w:rsidRPr="008231E8" w:rsidRDefault="009D22CB" w:rsidP="00D0793D">
      <w:r w:rsidRPr="008231E8">
        <w:t xml:space="preserve">We would like to acknowledge </w:t>
      </w:r>
      <w:r w:rsidRPr="00070F87">
        <w:t>the following staff responsible</w:t>
      </w:r>
      <w:r w:rsidR="00D0793D" w:rsidRPr="00070F87">
        <w:t xml:space="preserve"> </w:t>
      </w:r>
      <w:r w:rsidRPr="00070F87">
        <w:t>for the</w:t>
      </w:r>
      <w:r w:rsidRPr="008231E8">
        <w:t xml:space="preserve"> content of this report:</w:t>
      </w:r>
    </w:p>
    <w:p w:rsidR="003F6741" w:rsidRDefault="00070F87" w:rsidP="00D0793D">
      <w:r>
        <w:tab/>
      </w:r>
    </w:p>
    <w:p w:rsidR="00070F87" w:rsidRDefault="00070F87" w:rsidP="00124267">
      <w:r>
        <w:tab/>
        <w:t>Sylvia Derrick James, Director of Fiscal Services</w:t>
      </w:r>
    </w:p>
    <w:p w:rsidR="00070F87" w:rsidRDefault="00070F87" w:rsidP="00D0793D">
      <w:r>
        <w:tab/>
      </w:r>
      <w:r w:rsidR="00E44311">
        <w:t>Kristina Schreiber-Glodowski, Budget Analyst 4</w:t>
      </w:r>
    </w:p>
    <w:p w:rsidR="003F6741" w:rsidRDefault="003F6741" w:rsidP="00D0793D"/>
    <w:p w:rsidR="003F6741" w:rsidRDefault="003F6741"/>
    <w:sectPr w:rsidR="003F6741" w:rsidSect="00AF08AA">
      <w:footerReference w:type="default" r:id="rId59"/>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7E" w:rsidRDefault="004F377E" w:rsidP="009D60F7">
      <w:r>
        <w:separator/>
      </w:r>
    </w:p>
  </w:endnote>
  <w:endnote w:type="continuationSeparator" w:id="0">
    <w:p w:rsidR="004F377E" w:rsidRDefault="004F377E" w:rsidP="009D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7E" w:rsidRDefault="00E04F7E">
    <w:pPr>
      <w:tabs>
        <w:tab w:val="center" w:pos="4550"/>
        <w:tab w:val="left" w:pos="5818"/>
      </w:tabs>
      <w:ind w:right="260"/>
      <w:jc w:val="right"/>
      <w:rPr>
        <w:color w:val="0F243E" w:themeColor="text2" w:themeShade="80"/>
      </w:rPr>
    </w:pPr>
    <w:r w:rsidRPr="00E04F7E">
      <w:rPr>
        <w:color w:val="943634" w:themeColor="accent2" w:themeShade="BF"/>
        <w:spacing w:val="60"/>
      </w:rPr>
      <w:t>Page</w:t>
    </w:r>
    <w:r>
      <w:rPr>
        <w:color w:val="548DD4" w:themeColor="text2" w:themeTint="99"/>
      </w:rPr>
      <w:t xml:space="preserve"> </w:t>
    </w:r>
    <w:r w:rsidRPr="00E04F7E">
      <w:rPr>
        <w:color w:val="808080" w:themeColor="background1" w:themeShade="80"/>
      </w:rPr>
      <w:fldChar w:fldCharType="begin"/>
    </w:r>
    <w:r w:rsidRPr="00E04F7E">
      <w:rPr>
        <w:color w:val="808080" w:themeColor="background1" w:themeShade="80"/>
      </w:rPr>
      <w:instrText xml:space="preserve"> PAGE   \* MERGEFORMAT </w:instrText>
    </w:r>
    <w:r w:rsidRPr="00E04F7E">
      <w:rPr>
        <w:color w:val="808080" w:themeColor="background1" w:themeShade="80"/>
      </w:rPr>
      <w:fldChar w:fldCharType="separate"/>
    </w:r>
    <w:r w:rsidR="00F80857">
      <w:rPr>
        <w:noProof/>
        <w:color w:val="808080" w:themeColor="background1" w:themeShade="80"/>
      </w:rPr>
      <w:t>1</w:t>
    </w:r>
    <w:r w:rsidRPr="00E04F7E">
      <w:rPr>
        <w:color w:val="808080" w:themeColor="background1" w:themeShade="80"/>
      </w:rPr>
      <w:fldChar w:fldCharType="end"/>
    </w:r>
    <w:r w:rsidRPr="00E04F7E">
      <w:rPr>
        <w:color w:val="808080" w:themeColor="background1" w:themeShade="80"/>
      </w:rPr>
      <w:t xml:space="preserve"> | </w:t>
    </w:r>
    <w:r w:rsidR="00AF08AA">
      <w:rPr>
        <w:color w:val="808080" w:themeColor="background1" w:themeShade="80"/>
      </w:rPr>
      <w:t>28</w:t>
    </w:r>
  </w:p>
  <w:p w:rsidR="00E04F7E" w:rsidRDefault="00E04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AA" w:rsidRPr="00AF08AA" w:rsidRDefault="00AF08AA">
    <w:pPr>
      <w:tabs>
        <w:tab w:val="center" w:pos="4550"/>
        <w:tab w:val="left" w:pos="5818"/>
      </w:tabs>
      <w:ind w:right="260"/>
      <w:jc w:val="right"/>
      <w:rPr>
        <w:color w:val="808080" w:themeColor="background1" w:themeShade="80"/>
      </w:rPr>
    </w:pPr>
    <w:r w:rsidRPr="00AF08AA">
      <w:rPr>
        <w:color w:val="943634" w:themeColor="accent2" w:themeShade="BF"/>
        <w:spacing w:val="60"/>
      </w:rPr>
      <w:t>Page</w:t>
    </w:r>
    <w:r>
      <w:rPr>
        <w:color w:val="548DD4" w:themeColor="text2" w:themeTint="99"/>
      </w:rPr>
      <w:t xml:space="preserve"> </w:t>
    </w:r>
    <w:r w:rsidRPr="00AF08AA">
      <w:rPr>
        <w:color w:val="808080" w:themeColor="background1" w:themeShade="80"/>
      </w:rPr>
      <w:fldChar w:fldCharType="begin"/>
    </w:r>
    <w:r w:rsidRPr="00AF08AA">
      <w:rPr>
        <w:color w:val="808080" w:themeColor="background1" w:themeShade="80"/>
      </w:rPr>
      <w:instrText xml:space="preserve"> PAGE   \* MERGEFORMAT </w:instrText>
    </w:r>
    <w:r w:rsidRPr="00AF08AA">
      <w:rPr>
        <w:color w:val="808080" w:themeColor="background1" w:themeShade="80"/>
      </w:rPr>
      <w:fldChar w:fldCharType="separate"/>
    </w:r>
    <w:r w:rsidR="00F80857">
      <w:rPr>
        <w:noProof/>
        <w:color w:val="808080" w:themeColor="background1" w:themeShade="80"/>
      </w:rPr>
      <w:t>0</w:t>
    </w:r>
    <w:r w:rsidRPr="00AF08AA">
      <w:rPr>
        <w:color w:val="808080" w:themeColor="background1" w:themeShade="80"/>
      </w:rPr>
      <w:fldChar w:fldCharType="end"/>
    </w:r>
    <w:r w:rsidRPr="00AF08AA">
      <w:rPr>
        <w:color w:val="808080" w:themeColor="background1" w:themeShade="80"/>
      </w:rPr>
      <w:t xml:space="preserve"> | </w:t>
    </w:r>
    <w:r w:rsidR="00110F9C">
      <w:rPr>
        <w:color w:val="808080" w:themeColor="background1" w:themeShade="80"/>
      </w:rPr>
      <w:t>28</w:t>
    </w:r>
  </w:p>
  <w:p w:rsidR="00AF08AA" w:rsidRDefault="00AF0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AA" w:rsidRPr="00AF08AA" w:rsidRDefault="00AF08AA">
    <w:pPr>
      <w:tabs>
        <w:tab w:val="center" w:pos="4550"/>
        <w:tab w:val="left" w:pos="5818"/>
      </w:tabs>
      <w:ind w:right="260"/>
      <w:jc w:val="right"/>
      <w:rPr>
        <w:color w:val="808080" w:themeColor="background1" w:themeShade="80"/>
      </w:rPr>
    </w:pPr>
    <w:r w:rsidRPr="00AF08AA">
      <w:rPr>
        <w:color w:val="943634" w:themeColor="accent2" w:themeShade="BF"/>
        <w:spacing w:val="60"/>
      </w:rPr>
      <w:t>Page</w:t>
    </w:r>
    <w:r>
      <w:rPr>
        <w:color w:val="548DD4" w:themeColor="text2" w:themeTint="99"/>
      </w:rPr>
      <w:t xml:space="preserve"> </w:t>
    </w:r>
    <w:r w:rsidRPr="00AF08AA">
      <w:rPr>
        <w:color w:val="808080" w:themeColor="background1" w:themeShade="80"/>
      </w:rPr>
      <w:fldChar w:fldCharType="begin"/>
    </w:r>
    <w:r w:rsidRPr="00AF08AA">
      <w:rPr>
        <w:color w:val="808080" w:themeColor="background1" w:themeShade="80"/>
      </w:rPr>
      <w:instrText xml:space="preserve"> PAGE   \* MERGEFORMAT </w:instrText>
    </w:r>
    <w:r w:rsidRPr="00AF08AA">
      <w:rPr>
        <w:color w:val="808080" w:themeColor="background1" w:themeShade="80"/>
      </w:rPr>
      <w:fldChar w:fldCharType="separate"/>
    </w:r>
    <w:r w:rsidR="00F80857">
      <w:rPr>
        <w:noProof/>
        <w:color w:val="808080" w:themeColor="background1" w:themeShade="80"/>
      </w:rPr>
      <w:t>20</w:t>
    </w:r>
    <w:r w:rsidRPr="00AF08AA">
      <w:rPr>
        <w:color w:val="808080" w:themeColor="background1" w:themeShade="80"/>
      </w:rPr>
      <w:fldChar w:fldCharType="end"/>
    </w:r>
    <w:r w:rsidRPr="00AF08AA">
      <w:rPr>
        <w:color w:val="808080" w:themeColor="background1" w:themeShade="80"/>
      </w:rPr>
      <w:t xml:space="preserve"> | </w:t>
    </w:r>
    <w:r w:rsidR="00110F9C">
      <w:rPr>
        <w:color w:val="808080" w:themeColor="background1" w:themeShade="80"/>
      </w:rPr>
      <w:t>28</w:t>
    </w:r>
  </w:p>
  <w:p w:rsidR="004F377E" w:rsidRDefault="004F377E">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7E" w:rsidRDefault="004F377E" w:rsidP="009D60F7">
      <w:r>
        <w:separator/>
      </w:r>
    </w:p>
  </w:footnote>
  <w:footnote w:type="continuationSeparator" w:id="0">
    <w:p w:rsidR="004F377E" w:rsidRDefault="004F377E" w:rsidP="009D6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4F7265F"/>
    <w:multiLevelType w:val="hybridMultilevel"/>
    <w:tmpl w:val="A12EF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B72A5"/>
    <w:multiLevelType w:val="hybridMultilevel"/>
    <w:tmpl w:val="F6EE8EAC"/>
    <w:lvl w:ilvl="0" w:tplc="F6861C8A">
      <w:start w:val="1"/>
      <w:numFmt w:val="bullet"/>
      <w:lvlText w:val=""/>
      <w:lvlJc w:val="left"/>
      <w:pPr>
        <w:tabs>
          <w:tab w:val="num" w:pos="720"/>
        </w:tabs>
        <w:ind w:left="720" w:hanging="360"/>
      </w:pPr>
      <w:rPr>
        <w:rFonts w:ascii="Wingdings" w:hAnsi="Wingdings" w:hint="default"/>
      </w:rPr>
    </w:lvl>
    <w:lvl w:ilvl="1" w:tplc="62D4F970" w:tentative="1">
      <w:start w:val="1"/>
      <w:numFmt w:val="bullet"/>
      <w:lvlText w:val=""/>
      <w:lvlJc w:val="left"/>
      <w:pPr>
        <w:tabs>
          <w:tab w:val="num" w:pos="1440"/>
        </w:tabs>
        <w:ind w:left="1440" w:hanging="360"/>
      </w:pPr>
      <w:rPr>
        <w:rFonts w:ascii="Wingdings" w:hAnsi="Wingdings" w:hint="default"/>
      </w:rPr>
    </w:lvl>
    <w:lvl w:ilvl="2" w:tplc="F11A14F2" w:tentative="1">
      <w:start w:val="1"/>
      <w:numFmt w:val="bullet"/>
      <w:lvlText w:val=""/>
      <w:lvlJc w:val="left"/>
      <w:pPr>
        <w:tabs>
          <w:tab w:val="num" w:pos="2160"/>
        </w:tabs>
        <w:ind w:left="2160" w:hanging="360"/>
      </w:pPr>
      <w:rPr>
        <w:rFonts w:ascii="Wingdings" w:hAnsi="Wingdings" w:hint="default"/>
      </w:rPr>
    </w:lvl>
    <w:lvl w:ilvl="3" w:tplc="E148277E" w:tentative="1">
      <w:start w:val="1"/>
      <w:numFmt w:val="bullet"/>
      <w:lvlText w:val=""/>
      <w:lvlJc w:val="left"/>
      <w:pPr>
        <w:tabs>
          <w:tab w:val="num" w:pos="2880"/>
        </w:tabs>
        <w:ind w:left="2880" w:hanging="360"/>
      </w:pPr>
      <w:rPr>
        <w:rFonts w:ascii="Wingdings" w:hAnsi="Wingdings" w:hint="default"/>
      </w:rPr>
    </w:lvl>
    <w:lvl w:ilvl="4" w:tplc="5C34ACF2" w:tentative="1">
      <w:start w:val="1"/>
      <w:numFmt w:val="bullet"/>
      <w:lvlText w:val=""/>
      <w:lvlJc w:val="left"/>
      <w:pPr>
        <w:tabs>
          <w:tab w:val="num" w:pos="3600"/>
        </w:tabs>
        <w:ind w:left="3600" w:hanging="360"/>
      </w:pPr>
      <w:rPr>
        <w:rFonts w:ascii="Wingdings" w:hAnsi="Wingdings" w:hint="default"/>
      </w:rPr>
    </w:lvl>
    <w:lvl w:ilvl="5" w:tplc="68E20E8A" w:tentative="1">
      <w:start w:val="1"/>
      <w:numFmt w:val="bullet"/>
      <w:lvlText w:val=""/>
      <w:lvlJc w:val="left"/>
      <w:pPr>
        <w:tabs>
          <w:tab w:val="num" w:pos="4320"/>
        </w:tabs>
        <w:ind w:left="4320" w:hanging="360"/>
      </w:pPr>
      <w:rPr>
        <w:rFonts w:ascii="Wingdings" w:hAnsi="Wingdings" w:hint="default"/>
      </w:rPr>
    </w:lvl>
    <w:lvl w:ilvl="6" w:tplc="40EAC53E" w:tentative="1">
      <w:start w:val="1"/>
      <w:numFmt w:val="bullet"/>
      <w:lvlText w:val=""/>
      <w:lvlJc w:val="left"/>
      <w:pPr>
        <w:tabs>
          <w:tab w:val="num" w:pos="5040"/>
        </w:tabs>
        <w:ind w:left="5040" w:hanging="360"/>
      </w:pPr>
      <w:rPr>
        <w:rFonts w:ascii="Wingdings" w:hAnsi="Wingdings" w:hint="default"/>
      </w:rPr>
    </w:lvl>
    <w:lvl w:ilvl="7" w:tplc="8F16C78A" w:tentative="1">
      <w:start w:val="1"/>
      <w:numFmt w:val="bullet"/>
      <w:lvlText w:val=""/>
      <w:lvlJc w:val="left"/>
      <w:pPr>
        <w:tabs>
          <w:tab w:val="num" w:pos="5760"/>
        </w:tabs>
        <w:ind w:left="5760" w:hanging="360"/>
      </w:pPr>
      <w:rPr>
        <w:rFonts w:ascii="Wingdings" w:hAnsi="Wingdings" w:hint="default"/>
      </w:rPr>
    </w:lvl>
    <w:lvl w:ilvl="8" w:tplc="8F146D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050E3"/>
    <w:multiLevelType w:val="hybridMultilevel"/>
    <w:tmpl w:val="F7A06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472B"/>
    <w:multiLevelType w:val="hybridMultilevel"/>
    <w:tmpl w:val="5866C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B64DD"/>
    <w:multiLevelType w:val="hybridMultilevel"/>
    <w:tmpl w:val="6AFC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4BF9"/>
    <w:multiLevelType w:val="hybridMultilevel"/>
    <w:tmpl w:val="08D4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FB0F50"/>
    <w:multiLevelType w:val="hybridMultilevel"/>
    <w:tmpl w:val="69B02606"/>
    <w:lvl w:ilvl="0" w:tplc="126CFD24">
      <w:start w:val="1"/>
      <w:numFmt w:val="bullet"/>
      <w:lvlText w:val=""/>
      <w:lvlJc w:val="left"/>
      <w:pPr>
        <w:tabs>
          <w:tab w:val="num" w:pos="720"/>
        </w:tabs>
        <w:ind w:left="720" w:hanging="360"/>
      </w:pPr>
      <w:rPr>
        <w:rFonts w:ascii="Wingdings" w:hAnsi="Wingdings" w:hint="default"/>
      </w:rPr>
    </w:lvl>
    <w:lvl w:ilvl="1" w:tplc="D1EA8328" w:tentative="1">
      <w:start w:val="1"/>
      <w:numFmt w:val="bullet"/>
      <w:lvlText w:val=""/>
      <w:lvlJc w:val="left"/>
      <w:pPr>
        <w:tabs>
          <w:tab w:val="num" w:pos="1440"/>
        </w:tabs>
        <w:ind w:left="1440" w:hanging="360"/>
      </w:pPr>
      <w:rPr>
        <w:rFonts w:ascii="Wingdings" w:hAnsi="Wingdings" w:hint="default"/>
      </w:rPr>
    </w:lvl>
    <w:lvl w:ilvl="2" w:tplc="0988E428" w:tentative="1">
      <w:start w:val="1"/>
      <w:numFmt w:val="bullet"/>
      <w:lvlText w:val=""/>
      <w:lvlJc w:val="left"/>
      <w:pPr>
        <w:tabs>
          <w:tab w:val="num" w:pos="2160"/>
        </w:tabs>
        <w:ind w:left="2160" w:hanging="360"/>
      </w:pPr>
      <w:rPr>
        <w:rFonts w:ascii="Wingdings" w:hAnsi="Wingdings" w:hint="default"/>
      </w:rPr>
    </w:lvl>
    <w:lvl w:ilvl="3" w:tplc="7C1468FC" w:tentative="1">
      <w:start w:val="1"/>
      <w:numFmt w:val="bullet"/>
      <w:lvlText w:val=""/>
      <w:lvlJc w:val="left"/>
      <w:pPr>
        <w:tabs>
          <w:tab w:val="num" w:pos="2880"/>
        </w:tabs>
        <w:ind w:left="2880" w:hanging="360"/>
      </w:pPr>
      <w:rPr>
        <w:rFonts w:ascii="Wingdings" w:hAnsi="Wingdings" w:hint="default"/>
      </w:rPr>
    </w:lvl>
    <w:lvl w:ilvl="4" w:tplc="ECE6BF64" w:tentative="1">
      <w:start w:val="1"/>
      <w:numFmt w:val="bullet"/>
      <w:lvlText w:val=""/>
      <w:lvlJc w:val="left"/>
      <w:pPr>
        <w:tabs>
          <w:tab w:val="num" w:pos="3600"/>
        </w:tabs>
        <w:ind w:left="3600" w:hanging="360"/>
      </w:pPr>
      <w:rPr>
        <w:rFonts w:ascii="Wingdings" w:hAnsi="Wingdings" w:hint="default"/>
      </w:rPr>
    </w:lvl>
    <w:lvl w:ilvl="5" w:tplc="F16A034C" w:tentative="1">
      <w:start w:val="1"/>
      <w:numFmt w:val="bullet"/>
      <w:lvlText w:val=""/>
      <w:lvlJc w:val="left"/>
      <w:pPr>
        <w:tabs>
          <w:tab w:val="num" w:pos="4320"/>
        </w:tabs>
        <w:ind w:left="4320" w:hanging="360"/>
      </w:pPr>
      <w:rPr>
        <w:rFonts w:ascii="Wingdings" w:hAnsi="Wingdings" w:hint="default"/>
      </w:rPr>
    </w:lvl>
    <w:lvl w:ilvl="6" w:tplc="F4B45F4C" w:tentative="1">
      <w:start w:val="1"/>
      <w:numFmt w:val="bullet"/>
      <w:lvlText w:val=""/>
      <w:lvlJc w:val="left"/>
      <w:pPr>
        <w:tabs>
          <w:tab w:val="num" w:pos="5040"/>
        </w:tabs>
        <w:ind w:left="5040" w:hanging="360"/>
      </w:pPr>
      <w:rPr>
        <w:rFonts w:ascii="Wingdings" w:hAnsi="Wingdings" w:hint="default"/>
      </w:rPr>
    </w:lvl>
    <w:lvl w:ilvl="7" w:tplc="7372440A" w:tentative="1">
      <w:start w:val="1"/>
      <w:numFmt w:val="bullet"/>
      <w:lvlText w:val=""/>
      <w:lvlJc w:val="left"/>
      <w:pPr>
        <w:tabs>
          <w:tab w:val="num" w:pos="5760"/>
        </w:tabs>
        <w:ind w:left="5760" w:hanging="360"/>
      </w:pPr>
      <w:rPr>
        <w:rFonts w:ascii="Wingdings" w:hAnsi="Wingdings" w:hint="default"/>
      </w:rPr>
    </w:lvl>
    <w:lvl w:ilvl="8" w:tplc="B65A18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C2470"/>
    <w:multiLevelType w:val="hybridMultilevel"/>
    <w:tmpl w:val="51D0E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50978"/>
    <w:multiLevelType w:val="hybridMultilevel"/>
    <w:tmpl w:val="C2165366"/>
    <w:lvl w:ilvl="0" w:tplc="FEAA50D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462623"/>
    <w:multiLevelType w:val="hybridMultilevel"/>
    <w:tmpl w:val="3334E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997A21"/>
    <w:multiLevelType w:val="hybridMultilevel"/>
    <w:tmpl w:val="521A01E2"/>
    <w:lvl w:ilvl="0" w:tplc="87A2E1F4">
      <w:start w:val="1"/>
      <w:numFmt w:val="decimal"/>
      <w:lvlText w:val="%1)"/>
      <w:lvlJc w:val="left"/>
      <w:pPr>
        <w:tabs>
          <w:tab w:val="num" w:pos="720"/>
        </w:tabs>
        <w:ind w:left="720" w:hanging="360"/>
      </w:pPr>
    </w:lvl>
    <w:lvl w:ilvl="1" w:tplc="DA7A0F94" w:tentative="1">
      <w:start w:val="1"/>
      <w:numFmt w:val="decimal"/>
      <w:lvlText w:val="%2)"/>
      <w:lvlJc w:val="left"/>
      <w:pPr>
        <w:tabs>
          <w:tab w:val="num" w:pos="1440"/>
        </w:tabs>
        <w:ind w:left="1440" w:hanging="360"/>
      </w:pPr>
    </w:lvl>
    <w:lvl w:ilvl="2" w:tplc="217A9356" w:tentative="1">
      <w:start w:val="1"/>
      <w:numFmt w:val="decimal"/>
      <w:lvlText w:val="%3)"/>
      <w:lvlJc w:val="left"/>
      <w:pPr>
        <w:tabs>
          <w:tab w:val="num" w:pos="2160"/>
        </w:tabs>
        <w:ind w:left="2160" w:hanging="360"/>
      </w:pPr>
    </w:lvl>
    <w:lvl w:ilvl="3" w:tplc="E592A35A" w:tentative="1">
      <w:start w:val="1"/>
      <w:numFmt w:val="decimal"/>
      <w:lvlText w:val="%4)"/>
      <w:lvlJc w:val="left"/>
      <w:pPr>
        <w:tabs>
          <w:tab w:val="num" w:pos="2880"/>
        </w:tabs>
        <w:ind w:left="2880" w:hanging="360"/>
      </w:pPr>
    </w:lvl>
    <w:lvl w:ilvl="4" w:tplc="3D648A60" w:tentative="1">
      <w:start w:val="1"/>
      <w:numFmt w:val="decimal"/>
      <w:lvlText w:val="%5)"/>
      <w:lvlJc w:val="left"/>
      <w:pPr>
        <w:tabs>
          <w:tab w:val="num" w:pos="3600"/>
        </w:tabs>
        <w:ind w:left="3600" w:hanging="360"/>
      </w:pPr>
    </w:lvl>
    <w:lvl w:ilvl="5" w:tplc="26E8DFB4" w:tentative="1">
      <w:start w:val="1"/>
      <w:numFmt w:val="decimal"/>
      <w:lvlText w:val="%6)"/>
      <w:lvlJc w:val="left"/>
      <w:pPr>
        <w:tabs>
          <w:tab w:val="num" w:pos="4320"/>
        </w:tabs>
        <w:ind w:left="4320" w:hanging="360"/>
      </w:pPr>
    </w:lvl>
    <w:lvl w:ilvl="6" w:tplc="8F8A1482" w:tentative="1">
      <w:start w:val="1"/>
      <w:numFmt w:val="decimal"/>
      <w:lvlText w:val="%7)"/>
      <w:lvlJc w:val="left"/>
      <w:pPr>
        <w:tabs>
          <w:tab w:val="num" w:pos="5040"/>
        </w:tabs>
        <w:ind w:left="5040" w:hanging="360"/>
      </w:pPr>
    </w:lvl>
    <w:lvl w:ilvl="7" w:tplc="FF56283C" w:tentative="1">
      <w:start w:val="1"/>
      <w:numFmt w:val="decimal"/>
      <w:lvlText w:val="%8)"/>
      <w:lvlJc w:val="left"/>
      <w:pPr>
        <w:tabs>
          <w:tab w:val="num" w:pos="5760"/>
        </w:tabs>
        <w:ind w:left="5760" w:hanging="360"/>
      </w:pPr>
    </w:lvl>
    <w:lvl w:ilvl="8" w:tplc="FA16EB20" w:tentative="1">
      <w:start w:val="1"/>
      <w:numFmt w:val="decimal"/>
      <w:lvlText w:val="%9)"/>
      <w:lvlJc w:val="left"/>
      <w:pPr>
        <w:tabs>
          <w:tab w:val="num" w:pos="6480"/>
        </w:tabs>
        <w:ind w:left="6480" w:hanging="360"/>
      </w:pPr>
    </w:lvl>
  </w:abstractNum>
  <w:abstractNum w:abstractNumId="11" w15:restartNumberingAfterBreak="0">
    <w:nsid w:val="5B7B37ED"/>
    <w:multiLevelType w:val="hybridMultilevel"/>
    <w:tmpl w:val="7176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32E42"/>
    <w:multiLevelType w:val="hybridMultilevel"/>
    <w:tmpl w:val="0298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E203C"/>
    <w:multiLevelType w:val="hybridMultilevel"/>
    <w:tmpl w:val="8EFA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558D3"/>
    <w:multiLevelType w:val="multilevel"/>
    <w:tmpl w:val="CBC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8"/>
  </w:num>
  <w:num w:numId="4">
    <w:abstractNumId w:val="5"/>
  </w:num>
  <w:num w:numId="5">
    <w:abstractNumId w:val="9"/>
  </w:num>
  <w:num w:numId="6">
    <w:abstractNumId w:val="0"/>
  </w:num>
  <w:num w:numId="7">
    <w:abstractNumId w:val="6"/>
  </w:num>
  <w:num w:numId="8">
    <w:abstractNumId w:val="10"/>
  </w:num>
  <w:num w:numId="9">
    <w:abstractNumId w:val="1"/>
  </w:num>
  <w:num w:numId="10">
    <w:abstractNumId w:val="3"/>
  </w:num>
  <w:num w:numId="11">
    <w:abstractNumId w:val="14"/>
  </w:num>
  <w:num w:numId="12">
    <w:abstractNumId w:val="7"/>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3H9jR0BNvZz4D8Gx838jH4VHjlqqxwXoI165VjpoFyDvyfvVXKYGv1AFkWKhOj7KotSFqyR9fsCWQe/EzFa+PQ==" w:salt="lQalTRl9YYDni7qWhGaF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57"/>
    <w:rsid w:val="000003A5"/>
    <w:rsid w:val="00002B20"/>
    <w:rsid w:val="000066B0"/>
    <w:rsid w:val="000072BB"/>
    <w:rsid w:val="00014186"/>
    <w:rsid w:val="000203FD"/>
    <w:rsid w:val="0002429B"/>
    <w:rsid w:val="0003170E"/>
    <w:rsid w:val="00033DC9"/>
    <w:rsid w:val="0004007B"/>
    <w:rsid w:val="000423C6"/>
    <w:rsid w:val="00043A88"/>
    <w:rsid w:val="00052237"/>
    <w:rsid w:val="00057E65"/>
    <w:rsid w:val="00067C0B"/>
    <w:rsid w:val="00070F87"/>
    <w:rsid w:val="0007246D"/>
    <w:rsid w:val="00074123"/>
    <w:rsid w:val="0008137F"/>
    <w:rsid w:val="00082641"/>
    <w:rsid w:val="000837CF"/>
    <w:rsid w:val="00084F46"/>
    <w:rsid w:val="0008638A"/>
    <w:rsid w:val="00086833"/>
    <w:rsid w:val="00097806"/>
    <w:rsid w:val="00097CAA"/>
    <w:rsid w:val="00097D7C"/>
    <w:rsid w:val="000A22E0"/>
    <w:rsid w:val="000A6336"/>
    <w:rsid w:val="000B239E"/>
    <w:rsid w:val="000B3184"/>
    <w:rsid w:val="000B38E4"/>
    <w:rsid w:val="000C02F3"/>
    <w:rsid w:val="000C1116"/>
    <w:rsid w:val="000C2883"/>
    <w:rsid w:val="000C5A47"/>
    <w:rsid w:val="000C6976"/>
    <w:rsid w:val="000D3733"/>
    <w:rsid w:val="000D7680"/>
    <w:rsid w:val="000E42C8"/>
    <w:rsid w:val="000E4518"/>
    <w:rsid w:val="000E73B3"/>
    <w:rsid w:val="000F2E67"/>
    <w:rsid w:val="00106C8A"/>
    <w:rsid w:val="00110F9C"/>
    <w:rsid w:val="00113B57"/>
    <w:rsid w:val="001152F2"/>
    <w:rsid w:val="00120B0F"/>
    <w:rsid w:val="00121D8B"/>
    <w:rsid w:val="00124267"/>
    <w:rsid w:val="00127C42"/>
    <w:rsid w:val="001309E5"/>
    <w:rsid w:val="00134972"/>
    <w:rsid w:val="00142AB5"/>
    <w:rsid w:val="00154F99"/>
    <w:rsid w:val="00160600"/>
    <w:rsid w:val="00163C5D"/>
    <w:rsid w:val="00165260"/>
    <w:rsid w:val="00166DD8"/>
    <w:rsid w:val="00173133"/>
    <w:rsid w:val="00177A8B"/>
    <w:rsid w:val="00181E54"/>
    <w:rsid w:val="0018713F"/>
    <w:rsid w:val="00192A1A"/>
    <w:rsid w:val="001A7A82"/>
    <w:rsid w:val="001B21BA"/>
    <w:rsid w:val="001B39D6"/>
    <w:rsid w:val="001B58B2"/>
    <w:rsid w:val="001C0C1E"/>
    <w:rsid w:val="001C7E0F"/>
    <w:rsid w:val="001E0D04"/>
    <w:rsid w:val="001E5D2A"/>
    <w:rsid w:val="001E785A"/>
    <w:rsid w:val="001F031A"/>
    <w:rsid w:val="002018E3"/>
    <w:rsid w:val="0020353C"/>
    <w:rsid w:val="0020609F"/>
    <w:rsid w:val="0021128C"/>
    <w:rsid w:val="002152E1"/>
    <w:rsid w:val="002155F2"/>
    <w:rsid w:val="00220A5A"/>
    <w:rsid w:val="00220E31"/>
    <w:rsid w:val="0022464D"/>
    <w:rsid w:val="002248B5"/>
    <w:rsid w:val="00227339"/>
    <w:rsid w:val="002314D5"/>
    <w:rsid w:val="00236531"/>
    <w:rsid w:val="0024281D"/>
    <w:rsid w:val="0024478D"/>
    <w:rsid w:val="00244EEB"/>
    <w:rsid w:val="00245BEA"/>
    <w:rsid w:val="00253100"/>
    <w:rsid w:val="00257BDB"/>
    <w:rsid w:val="00267DA9"/>
    <w:rsid w:val="00272ABF"/>
    <w:rsid w:val="002731D8"/>
    <w:rsid w:val="0027424E"/>
    <w:rsid w:val="00276BCA"/>
    <w:rsid w:val="00277782"/>
    <w:rsid w:val="002777D8"/>
    <w:rsid w:val="00277FDD"/>
    <w:rsid w:val="00280D65"/>
    <w:rsid w:val="002843B0"/>
    <w:rsid w:val="00287FAC"/>
    <w:rsid w:val="00290125"/>
    <w:rsid w:val="00290C9D"/>
    <w:rsid w:val="00291240"/>
    <w:rsid w:val="00294977"/>
    <w:rsid w:val="002A4BB1"/>
    <w:rsid w:val="002A4D1C"/>
    <w:rsid w:val="002A66D7"/>
    <w:rsid w:val="002B28CC"/>
    <w:rsid w:val="002B531F"/>
    <w:rsid w:val="002C1B18"/>
    <w:rsid w:val="002C5F5E"/>
    <w:rsid w:val="002E0029"/>
    <w:rsid w:val="002E262D"/>
    <w:rsid w:val="002E2F25"/>
    <w:rsid w:val="002F1573"/>
    <w:rsid w:val="002F498A"/>
    <w:rsid w:val="002F5C81"/>
    <w:rsid w:val="002F7341"/>
    <w:rsid w:val="003013D4"/>
    <w:rsid w:val="003023F4"/>
    <w:rsid w:val="00305067"/>
    <w:rsid w:val="00313CC5"/>
    <w:rsid w:val="00315990"/>
    <w:rsid w:val="00316E66"/>
    <w:rsid w:val="003249B3"/>
    <w:rsid w:val="00324F00"/>
    <w:rsid w:val="0032788A"/>
    <w:rsid w:val="00330369"/>
    <w:rsid w:val="00333964"/>
    <w:rsid w:val="003358DE"/>
    <w:rsid w:val="0033742F"/>
    <w:rsid w:val="00341A0E"/>
    <w:rsid w:val="0034350A"/>
    <w:rsid w:val="00344059"/>
    <w:rsid w:val="00344123"/>
    <w:rsid w:val="00344A18"/>
    <w:rsid w:val="0035610D"/>
    <w:rsid w:val="00357DC9"/>
    <w:rsid w:val="00360972"/>
    <w:rsid w:val="00361567"/>
    <w:rsid w:val="00361F12"/>
    <w:rsid w:val="00362861"/>
    <w:rsid w:val="00362CD7"/>
    <w:rsid w:val="003634B4"/>
    <w:rsid w:val="00366719"/>
    <w:rsid w:val="00371CBA"/>
    <w:rsid w:val="00372AFF"/>
    <w:rsid w:val="00375C52"/>
    <w:rsid w:val="00377418"/>
    <w:rsid w:val="0039066A"/>
    <w:rsid w:val="00395C84"/>
    <w:rsid w:val="003A3484"/>
    <w:rsid w:val="003A4D21"/>
    <w:rsid w:val="003A57DB"/>
    <w:rsid w:val="003A74FF"/>
    <w:rsid w:val="003A7C99"/>
    <w:rsid w:val="003B30B6"/>
    <w:rsid w:val="003B5B5B"/>
    <w:rsid w:val="003C0C5F"/>
    <w:rsid w:val="003D30A8"/>
    <w:rsid w:val="003D3905"/>
    <w:rsid w:val="003E3F98"/>
    <w:rsid w:val="003E73AC"/>
    <w:rsid w:val="003F464D"/>
    <w:rsid w:val="003F57F9"/>
    <w:rsid w:val="003F6741"/>
    <w:rsid w:val="0040697C"/>
    <w:rsid w:val="00410B5A"/>
    <w:rsid w:val="00412CB0"/>
    <w:rsid w:val="004154FC"/>
    <w:rsid w:val="0041595B"/>
    <w:rsid w:val="00423C1B"/>
    <w:rsid w:val="00425218"/>
    <w:rsid w:val="0043136B"/>
    <w:rsid w:val="00435009"/>
    <w:rsid w:val="004407E4"/>
    <w:rsid w:val="00442739"/>
    <w:rsid w:val="00443542"/>
    <w:rsid w:val="00446B7D"/>
    <w:rsid w:val="00451948"/>
    <w:rsid w:val="004557EC"/>
    <w:rsid w:val="004607A4"/>
    <w:rsid w:val="004619C8"/>
    <w:rsid w:val="00464634"/>
    <w:rsid w:val="00472802"/>
    <w:rsid w:val="00474973"/>
    <w:rsid w:val="004759F2"/>
    <w:rsid w:val="00476146"/>
    <w:rsid w:val="0047706A"/>
    <w:rsid w:val="0048045C"/>
    <w:rsid w:val="00492D94"/>
    <w:rsid w:val="004973B6"/>
    <w:rsid w:val="00497849"/>
    <w:rsid w:val="004A4250"/>
    <w:rsid w:val="004A4370"/>
    <w:rsid w:val="004A74B9"/>
    <w:rsid w:val="004B574E"/>
    <w:rsid w:val="004C48E3"/>
    <w:rsid w:val="004D7E43"/>
    <w:rsid w:val="004E033D"/>
    <w:rsid w:val="004E2971"/>
    <w:rsid w:val="004E4A5D"/>
    <w:rsid w:val="004E69A3"/>
    <w:rsid w:val="004F377E"/>
    <w:rsid w:val="00502B1C"/>
    <w:rsid w:val="0050612D"/>
    <w:rsid w:val="005065F9"/>
    <w:rsid w:val="005140B7"/>
    <w:rsid w:val="00514423"/>
    <w:rsid w:val="00517122"/>
    <w:rsid w:val="00517144"/>
    <w:rsid w:val="00521641"/>
    <w:rsid w:val="00525060"/>
    <w:rsid w:val="005351F6"/>
    <w:rsid w:val="0054540A"/>
    <w:rsid w:val="005467AB"/>
    <w:rsid w:val="00550221"/>
    <w:rsid w:val="005524AF"/>
    <w:rsid w:val="00553AFC"/>
    <w:rsid w:val="00553F24"/>
    <w:rsid w:val="0055706A"/>
    <w:rsid w:val="00567FC0"/>
    <w:rsid w:val="00574346"/>
    <w:rsid w:val="005746A7"/>
    <w:rsid w:val="00580375"/>
    <w:rsid w:val="005821BE"/>
    <w:rsid w:val="005901E7"/>
    <w:rsid w:val="005A1801"/>
    <w:rsid w:val="005A568B"/>
    <w:rsid w:val="005B2C5A"/>
    <w:rsid w:val="005C45CB"/>
    <w:rsid w:val="005C7375"/>
    <w:rsid w:val="005D02F7"/>
    <w:rsid w:val="005E667A"/>
    <w:rsid w:val="005F313C"/>
    <w:rsid w:val="005F40ED"/>
    <w:rsid w:val="005F6EC0"/>
    <w:rsid w:val="005F7C4B"/>
    <w:rsid w:val="00603460"/>
    <w:rsid w:val="00616FEC"/>
    <w:rsid w:val="00621585"/>
    <w:rsid w:val="00626342"/>
    <w:rsid w:val="0062759D"/>
    <w:rsid w:val="006403BF"/>
    <w:rsid w:val="006445B5"/>
    <w:rsid w:val="0064680A"/>
    <w:rsid w:val="00651711"/>
    <w:rsid w:val="00655830"/>
    <w:rsid w:val="00656F4C"/>
    <w:rsid w:val="00660F9E"/>
    <w:rsid w:val="0066103F"/>
    <w:rsid w:val="00673B61"/>
    <w:rsid w:val="00676161"/>
    <w:rsid w:val="006813FD"/>
    <w:rsid w:val="006829B0"/>
    <w:rsid w:val="00684475"/>
    <w:rsid w:val="00684C9F"/>
    <w:rsid w:val="006865B9"/>
    <w:rsid w:val="00692A66"/>
    <w:rsid w:val="006B70BE"/>
    <w:rsid w:val="006C41F0"/>
    <w:rsid w:val="006C4437"/>
    <w:rsid w:val="006D2B57"/>
    <w:rsid w:val="006D5397"/>
    <w:rsid w:val="006D5B54"/>
    <w:rsid w:val="006E1805"/>
    <w:rsid w:val="006E2421"/>
    <w:rsid w:val="006E6C04"/>
    <w:rsid w:val="006E760D"/>
    <w:rsid w:val="006F0A5D"/>
    <w:rsid w:val="006F4037"/>
    <w:rsid w:val="00702C0A"/>
    <w:rsid w:val="00706A63"/>
    <w:rsid w:val="0070748D"/>
    <w:rsid w:val="00713444"/>
    <w:rsid w:val="0072549C"/>
    <w:rsid w:val="00736E3A"/>
    <w:rsid w:val="00742405"/>
    <w:rsid w:val="00742930"/>
    <w:rsid w:val="007429AE"/>
    <w:rsid w:val="007443C2"/>
    <w:rsid w:val="007455CE"/>
    <w:rsid w:val="00747F40"/>
    <w:rsid w:val="007514E5"/>
    <w:rsid w:val="00755B4F"/>
    <w:rsid w:val="00757343"/>
    <w:rsid w:val="00766734"/>
    <w:rsid w:val="00767F9E"/>
    <w:rsid w:val="007709E0"/>
    <w:rsid w:val="00771694"/>
    <w:rsid w:val="0077724B"/>
    <w:rsid w:val="007808CF"/>
    <w:rsid w:val="00781118"/>
    <w:rsid w:val="00781AEC"/>
    <w:rsid w:val="00786E29"/>
    <w:rsid w:val="007879BC"/>
    <w:rsid w:val="007949EA"/>
    <w:rsid w:val="007A31BE"/>
    <w:rsid w:val="007A3EDB"/>
    <w:rsid w:val="007A6BDA"/>
    <w:rsid w:val="007B0D5B"/>
    <w:rsid w:val="007B44E1"/>
    <w:rsid w:val="007B6E06"/>
    <w:rsid w:val="007C02E5"/>
    <w:rsid w:val="007C31F2"/>
    <w:rsid w:val="007C6597"/>
    <w:rsid w:val="007E0184"/>
    <w:rsid w:val="007E7893"/>
    <w:rsid w:val="007F6C41"/>
    <w:rsid w:val="007F7566"/>
    <w:rsid w:val="008052EB"/>
    <w:rsid w:val="00806BDA"/>
    <w:rsid w:val="00812AB9"/>
    <w:rsid w:val="00814B8F"/>
    <w:rsid w:val="00820B3E"/>
    <w:rsid w:val="008231E8"/>
    <w:rsid w:val="0082354F"/>
    <w:rsid w:val="00830AAB"/>
    <w:rsid w:val="00830BCD"/>
    <w:rsid w:val="00831098"/>
    <w:rsid w:val="00832F10"/>
    <w:rsid w:val="00832FED"/>
    <w:rsid w:val="00834DD9"/>
    <w:rsid w:val="00843134"/>
    <w:rsid w:val="008460CD"/>
    <w:rsid w:val="008601D8"/>
    <w:rsid w:val="00861549"/>
    <w:rsid w:val="00865CB2"/>
    <w:rsid w:val="00870448"/>
    <w:rsid w:val="00875924"/>
    <w:rsid w:val="0088079D"/>
    <w:rsid w:val="00880AA5"/>
    <w:rsid w:val="00882B14"/>
    <w:rsid w:val="0088612B"/>
    <w:rsid w:val="00895DFC"/>
    <w:rsid w:val="008A4BF7"/>
    <w:rsid w:val="008A5EC7"/>
    <w:rsid w:val="008B5682"/>
    <w:rsid w:val="008C0857"/>
    <w:rsid w:val="008E10E0"/>
    <w:rsid w:val="008E4600"/>
    <w:rsid w:val="008E464F"/>
    <w:rsid w:val="008E53CA"/>
    <w:rsid w:val="008E7B82"/>
    <w:rsid w:val="008F3BDD"/>
    <w:rsid w:val="008F717D"/>
    <w:rsid w:val="008F7648"/>
    <w:rsid w:val="00900D8C"/>
    <w:rsid w:val="00906D9C"/>
    <w:rsid w:val="00915CD6"/>
    <w:rsid w:val="009211A5"/>
    <w:rsid w:val="00927E93"/>
    <w:rsid w:val="00930A13"/>
    <w:rsid w:val="009371E9"/>
    <w:rsid w:val="00954E47"/>
    <w:rsid w:val="0095609F"/>
    <w:rsid w:val="009620D8"/>
    <w:rsid w:val="00962F8E"/>
    <w:rsid w:val="00966448"/>
    <w:rsid w:val="00972310"/>
    <w:rsid w:val="0099073C"/>
    <w:rsid w:val="00990D7B"/>
    <w:rsid w:val="00993D32"/>
    <w:rsid w:val="00994B9E"/>
    <w:rsid w:val="00995ACE"/>
    <w:rsid w:val="009A3F77"/>
    <w:rsid w:val="009A7001"/>
    <w:rsid w:val="009B0840"/>
    <w:rsid w:val="009C1B7F"/>
    <w:rsid w:val="009C2411"/>
    <w:rsid w:val="009C4203"/>
    <w:rsid w:val="009C4863"/>
    <w:rsid w:val="009C4DB2"/>
    <w:rsid w:val="009C7744"/>
    <w:rsid w:val="009D067A"/>
    <w:rsid w:val="009D0F5E"/>
    <w:rsid w:val="009D22CB"/>
    <w:rsid w:val="009D3E27"/>
    <w:rsid w:val="009D412A"/>
    <w:rsid w:val="009D4935"/>
    <w:rsid w:val="009D60F7"/>
    <w:rsid w:val="009D7C36"/>
    <w:rsid w:val="009E1CE0"/>
    <w:rsid w:val="009E3700"/>
    <w:rsid w:val="009F1B4C"/>
    <w:rsid w:val="009F54AC"/>
    <w:rsid w:val="00A00474"/>
    <w:rsid w:val="00A06C0A"/>
    <w:rsid w:val="00A25239"/>
    <w:rsid w:val="00A270FE"/>
    <w:rsid w:val="00A271A5"/>
    <w:rsid w:val="00A33EF4"/>
    <w:rsid w:val="00A444C7"/>
    <w:rsid w:val="00A507B8"/>
    <w:rsid w:val="00A55458"/>
    <w:rsid w:val="00A61BAD"/>
    <w:rsid w:val="00A62D8B"/>
    <w:rsid w:val="00A63E66"/>
    <w:rsid w:val="00A6672E"/>
    <w:rsid w:val="00A701AA"/>
    <w:rsid w:val="00A72C5F"/>
    <w:rsid w:val="00A74F62"/>
    <w:rsid w:val="00A76F88"/>
    <w:rsid w:val="00A81CFC"/>
    <w:rsid w:val="00A81E4D"/>
    <w:rsid w:val="00A86A61"/>
    <w:rsid w:val="00A90AA5"/>
    <w:rsid w:val="00A90E5E"/>
    <w:rsid w:val="00A916B1"/>
    <w:rsid w:val="00A94C5D"/>
    <w:rsid w:val="00A9597F"/>
    <w:rsid w:val="00AA3010"/>
    <w:rsid w:val="00AA3442"/>
    <w:rsid w:val="00AA4165"/>
    <w:rsid w:val="00AA482B"/>
    <w:rsid w:val="00AB298E"/>
    <w:rsid w:val="00AB2B83"/>
    <w:rsid w:val="00AB4917"/>
    <w:rsid w:val="00AB4A08"/>
    <w:rsid w:val="00AB522E"/>
    <w:rsid w:val="00AB7578"/>
    <w:rsid w:val="00AC2422"/>
    <w:rsid w:val="00AC242E"/>
    <w:rsid w:val="00AC40E7"/>
    <w:rsid w:val="00AC4D31"/>
    <w:rsid w:val="00AC4FB1"/>
    <w:rsid w:val="00AC57A3"/>
    <w:rsid w:val="00AC5F91"/>
    <w:rsid w:val="00AD2FF3"/>
    <w:rsid w:val="00AE13A6"/>
    <w:rsid w:val="00AE3D4F"/>
    <w:rsid w:val="00AE4298"/>
    <w:rsid w:val="00AE7EAB"/>
    <w:rsid w:val="00AF03FA"/>
    <w:rsid w:val="00AF08AA"/>
    <w:rsid w:val="00AF1BF9"/>
    <w:rsid w:val="00AF3225"/>
    <w:rsid w:val="00AF3319"/>
    <w:rsid w:val="00B03FA7"/>
    <w:rsid w:val="00B12EA1"/>
    <w:rsid w:val="00B13A59"/>
    <w:rsid w:val="00B224FF"/>
    <w:rsid w:val="00B31B64"/>
    <w:rsid w:val="00B3458F"/>
    <w:rsid w:val="00B3630A"/>
    <w:rsid w:val="00B42286"/>
    <w:rsid w:val="00B46AA7"/>
    <w:rsid w:val="00B478C1"/>
    <w:rsid w:val="00B54F0B"/>
    <w:rsid w:val="00B56ED7"/>
    <w:rsid w:val="00B62C6B"/>
    <w:rsid w:val="00B63E2A"/>
    <w:rsid w:val="00B7084B"/>
    <w:rsid w:val="00B72FA2"/>
    <w:rsid w:val="00B73AD6"/>
    <w:rsid w:val="00B74F92"/>
    <w:rsid w:val="00B76D02"/>
    <w:rsid w:val="00B91D69"/>
    <w:rsid w:val="00BA179D"/>
    <w:rsid w:val="00BB4276"/>
    <w:rsid w:val="00BD1B44"/>
    <w:rsid w:val="00BD2757"/>
    <w:rsid w:val="00BD6D49"/>
    <w:rsid w:val="00BD71EF"/>
    <w:rsid w:val="00BD7852"/>
    <w:rsid w:val="00BF13B7"/>
    <w:rsid w:val="00BF4135"/>
    <w:rsid w:val="00BF66F3"/>
    <w:rsid w:val="00C05AA2"/>
    <w:rsid w:val="00C106B4"/>
    <w:rsid w:val="00C13603"/>
    <w:rsid w:val="00C1416A"/>
    <w:rsid w:val="00C14B8E"/>
    <w:rsid w:val="00C156B5"/>
    <w:rsid w:val="00C22658"/>
    <w:rsid w:val="00C32577"/>
    <w:rsid w:val="00C36C77"/>
    <w:rsid w:val="00C41CE8"/>
    <w:rsid w:val="00C5200E"/>
    <w:rsid w:val="00C52AE7"/>
    <w:rsid w:val="00C54EBE"/>
    <w:rsid w:val="00C573F0"/>
    <w:rsid w:val="00C5774C"/>
    <w:rsid w:val="00C60F3C"/>
    <w:rsid w:val="00C614B2"/>
    <w:rsid w:val="00C62E71"/>
    <w:rsid w:val="00C64F84"/>
    <w:rsid w:val="00C715B1"/>
    <w:rsid w:val="00C75CDF"/>
    <w:rsid w:val="00C76FD9"/>
    <w:rsid w:val="00C77574"/>
    <w:rsid w:val="00C77F63"/>
    <w:rsid w:val="00C90D08"/>
    <w:rsid w:val="00C911F1"/>
    <w:rsid w:val="00C93296"/>
    <w:rsid w:val="00C958DA"/>
    <w:rsid w:val="00C97F80"/>
    <w:rsid w:val="00CA0224"/>
    <w:rsid w:val="00CA20D3"/>
    <w:rsid w:val="00CA4EE5"/>
    <w:rsid w:val="00CB4B95"/>
    <w:rsid w:val="00CB6905"/>
    <w:rsid w:val="00CD45F8"/>
    <w:rsid w:val="00CE7226"/>
    <w:rsid w:val="00CF02AB"/>
    <w:rsid w:val="00CF3782"/>
    <w:rsid w:val="00D02241"/>
    <w:rsid w:val="00D0627F"/>
    <w:rsid w:val="00D0793D"/>
    <w:rsid w:val="00D116C8"/>
    <w:rsid w:val="00D137F9"/>
    <w:rsid w:val="00D161BF"/>
    <w:rsid w:val="00D161D9"/>
    <w:rsid w:val="00D20364"/>
    <w:rsid w:val="00D40606"/>
    <w:rsid w:val="00D43678"/>
    <w:rsid w:val="00D44FD3"/>
    <w:rsid w:val="00D45F6A"/>
    <w:rsid w:val="00D476C7"/>
    <w:rsid w:val="00D51A4A"/>
    <w:rsid w:val="00D52DE1"/>
    <w:rsid w:val="00D52FBE"/>
    <w:rsid w:val="00D578ED"/>
    <w:rsid w:val="00D62337"/>
    <w:rsid w:val="00D62F6D"/>
    <w:rsid w:val="00D75A9A"/>
    <w:rsid w:val="00D75E85"/>
    <w:rsid w:val="00D76388"/>
    <w:rsid w:val="00D80CBA"/>
    <w:rsid w:val="00D87046"/>
    <w:rsid w:val="00D87429"/>
    <w:rsid w:val="00D905ED"/>
    <w:rsid w:val="00D96E04"/>
    <w:rsid w:val="00DB2EB6"/>
    <w:rsid w:val="00DC088C"/>
    <w:rsid w:val="00DC25EB"/>
    <w:rsid w:val="00DC2729"/>
    <w:rsid w:val="00DD441E"/>
    <w:rsid w:val="00DD6EEB"/>
    <w:rsid w:val="00DE10A8"/>
    <w:rsid w:val="00DE57EC"/>
    <w:rsid w:val="00DE6270"/>
    <w:rsid w:val="00DE75CA"/>
    <w:rsid w:val="00DE7A8B"/>
    <w:rsid w:val="00DF10E2"/>
    <w:rsid w:val="00DF5C13"/>
    <w:rsid w:val="00DF7CCA"/>
    <w:rsid w:val="00DF7E00"/>
    <w:rsid w:val="00E01E6A"/>
    <w:rsid w:val="00E03811"/>
    <w:rsid w:val="00E04F7E"/>
    <w:rsid w:val="00E114CC"/>
    <w:rsid w:val="00E11778"/>
    <w:rsid w:val="00E15A88"/>
    <w:rsid w:val="00E162FE"/>
    <w:rsid w:val="00E238F1"/>
    <w:rsid w:val="00E26903"/>
    <w:rsid w:val="00E33456"/>
    <w:rsid w:val="00E341E4"/>
    <w:rsid w:val="00E365F0"/>
    <w:rsid w:val="00E36B30"/>
    <w:rsid w:val="00E44311"/>
    <w:rsid w:val="00E447C6"/>
    <w:rsid w:val="00E457AD"/>
    <w:rsid w:val="00E515E3"/>
    <w:rsid w:val="00E52873"/>
    <w:rsid w:val="00E528AD"/>
    <w:rsid w:val="00E52C59"/>
    <w:rsid w:val="00E52D7F"/>
    <w:rsid w:val="00E61197"/>
    <w:rsid w:val="00E63A04"/>
    <w:rsid w:val="00E647C8"/>
    <w:rsid w:val="00E74C38"/>
    <w:rsid w:val="00E905EC"/>
    <w:rsid w:val="00E92E49"/>
    <w:rsid w:val="00EA0BB9"/>
    <w:rsid w:val="00EA23B7"/>
    <w:rsid w:val="00EB5D9F"/>
    <w:rsid w:val="00EC0665"/>
    <w:rsid w:val="00EC7050"/>
    <w:rsid w:val="00EC775C"/>
    <w:rsid w:val="00ED1671"/>
    <w:rsid w:val="00EE1311"/>
    <w:rsid w:val="00EE22A4"/>
    <w:rsid w:val="00EE3FC9"/>
    <w:rsid w:val="00EE4BCA"/>
    <w:rsid w:val="00EE71CD"/>
    <w:rsid w:val="00F068DC"/>
    <w:rsid w:val="00F12516"/>
    <w:rsid w:val="00F13F06"/>
    <w:rsid w:val="00F14383"/>
    <w:rsid w:val="00F1459E"/>
    <w:rsid w:val="00F16363"/>
    <w:rsid w:val="00F242B5"/>
    <w:rsid w:val="00F257CD"/>
    <w:rsid w:val="00F309F5"/>
    <w:rsid w:val="00F54EDD"/>
    <w:rsid w:val="00F56E19"/>
    <w:rsid w:val="00F7095E"/>
    <w:rsid w:val="00F77598"/>
    <w:rsid w:val="00F80857"/>
    <w:rsid w:val="00F81A76"/>
    <w:rsid w:val="00F83121"/>
    <w:rsid w:val="00F845AE"/>
    <w:rsid w:val="00F86E46"/>
    <w:rsid w:val="00F91803"/>
    <w:rsid w:val="00F93EB6"/>
    <w:rsid w:val="00F976A4"/>
    <w:rsid w:val="00FA14A5"/>
    <w:rsid w:val="00FA330C"/>
    <w:rsid w:val="00FA466A"/>
    <w:rsid w:val="00FB4ADC"/>
    <w:rsid w:val="00FC1FC0"/>
    <w:rsid w:val="00FC3247"/>
    <w:rsid w:val="00FC6FE8"/>
    <w:rsid w:val="00FD402A"/>
    <w:rsid w:val="00FD4355"/>
    <w:rsid w:val="00FD789A"/>
    <w:rsid w:val="00FE7933"/>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EFAC8B-9AA7-48FA-B0CD-272D25D3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CB"/>
  </w:style>
  <w:style w:type="paragraph" w:styleId="Heading1">
    <w:name w:val="heading 1"/>
    <w:basedOn w:val="Normal"/>
    <w:next w:val="Normal"/>
    <w:link w:val="Heading1Char"/>
    <w:uiPriority w:val="9"/>
    <w:qFormat/>
    <w:rsid w:val="004A42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1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7C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742F"/>
    <w:pPr>
      <w:keepNext/>
      <w:spacing w:before="240" w:after="60"/>
      <w:outlineLvl w:val="3"/>
    </w:pPr>
    <w:rPr>
      <w:rFonts w:eastAsia="Times New Roman" w:cs="Times New Roman"/>
      <w:b/>
      <w:bCs/>
      <w:sz w:val="28"/>
      <w:szCs w:val="28"/>
      <w:lang w:bidi="en-US"/>
    </w:rPr>
  </w:style>
  <w:style w:type="paragraph" w:styleId="Heading6">
    <w:name w:val="heading 6"/>
    <w:basedOn w:val="Normal"/>
    <w:next w:val="Normal"/>
    <w:link w:val="Heading6Char"/>
    <w:qFormat/>
    <w:rsid w:val="0033742F"/>
    <w:pPr>
      <w:spacing w:before="240" w:after="60"/>
      <w:outlineLvl w:val="5"/>
    </w:pPr>
    <w:rPr>
      <w:rFonts w:eastAsia="Times New Roman" w:cs="Times New Roman"/>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CBA"/>
    <w:rPr>
      <w:rFonts w:eastAsia="Calibri" w:cs="Times New Roman"/>
      <w:szCs w:val="20"/>
    </w:rPr>
    <w:tblPr/>
  </w:style>
  <w:style w:type="character" w:customStyle="1" w:styleId="Heading4Char">
    <w:name w:val="Heading 4 Char"/>
    <w:basedOn w:val="DefaultParagraphFont"/>
    <w:link w:val="Heading4"/>
    <w:rsid w:val="0033742F"/>
    <w:rPr>
      <w:rFonts w:eastAsia="Times New Roman" w:cs="Times New Roman"/>
      <w:b/>
      <w:bCs/>
      <w:sz w:val="28"/>
      <w:szCs w:val="28"/>
      <w:lang w:bidi="en-US"/>
    </w:rPr>
  </w:style>
  <w:style w:type="character" w:customStyle="1" w:styleId="Heading6Char">
    <w:name w:val="Heading 6 Char"/>
    <w:basedOn w:val="DefaultParagraphFont"/>
    <w:link w:val="Heading6"/>
    <w:rsid w:val="0033742F"/>
    <w:rPr>
      <w:rFonts w:eastAsia="Times New Roman" w:cs="Times New Roman"/>
      <w:b/>
      <w:bCs/>
      <w:sz w:val="22"/>
      <w:szCs w:val="22"/>
      <w:lang w:bidi="en-US"/>
    </w:rPr>
  </w:style>
  <w:style w:type="paragraph" w:styleId="List">
    <w:name w:val="List"/>
    <w:basedOn w:val="Normal"/>
    <w:rsid w:val="0033742F"/>
    <w:pPr>
      <w:ind w:left="360" w:hanging="360"/>
      <w:contextualSpacing/>
    </w:pPr>
    <w:rPr>
      <w:rFonts w:eastAsia="Times New Roman" w:cs="Times New Roman"/>
      <w:szCs w:val="20"/>
      <w:lang w:bidi="en-US"/>
    </w:rPr>
  </w:style>
  <w:style w:type="character" w:styleId="Hyperlink">
    <w:name w:val="Hyperlink"/>
    <w:basedOn w:val="DefaultParagraphFont"/>
    <w:uiPriority w:val="99"/>
    <w:unhideWhenUsed/>
    <w:rsid w:val="00423C1B"/>
    <w:rPr>
      <w:color w:val="0000FF" w:themeColor="hyperlink"/>
      <w:u w:val="single"/>
    </w:rPr>
  </w:style>
  <w:style w:type="paragraph" w:customStyle="1" w:styleId="B1">
    <w:name w:val="B1"/>
    <w:basedOn w:val="Normal"/>
    <w:rsid w:val="00121D8B"/>
    <w:pPr>
      <w:tabs>
        <w:tab w:val="left" w:pos="240"/>
      </w:tabs>
      <w:autoSpaceDE w:val="0"/>
      <w:autoSpaceDN w:val="0"/>
      <w:adjustRightInd w:val="0"/>
      <w:spacing w:line="210" w:lineRule="atLeast"/>
      <w:ind w:firstLine="240"/>
      <w:textAlignment w:val="baseline"/>
    </w:pPr>
    <w:rPr>
      <w:rFonts w:ascii="Stone Serif" w:eastAsia="Times New Roman" w:hAnsi="Stone Serif" w:cs="Stone Serif"/>
      <w:color w:val="000000"/>
      <w:sz w:val="18"/>
      <w:szCs w:val="18"/>
    </w:rPr>
  </w:style>
  <w:style w:type="paragraph" w:styleId="ListParagraph">
    <w:name w:val="List Paragraph"/>
    <w:basedOn w:val="Normal"/>
    <w:uiPriority w:val="34"/>
    <w:qFormat/>
    <w:rsid w:val="006D5397"/>
    <w:pPr>
      <w:ind w:left="720"/>
      <w:contextualSpacing/>
      <w:jc w:val="both"/>
    </w:pPr>
    <w:rPr>
      <w:rFonts w:asciiTheme="minorHAnsi" w:hAnsiTheme="minorHAnsi"/>
      <w:sz w:val="22"/>
      <w:szCs w:val="22"/>
    </w:rPr>
  </w:style>
  <w:style w:type="paragraph" w:customStyle="1" w:styleId="NOTESFIRSTLINE">
    <w:name w:val="NOTES FIRST LINE"/>
    <w:rsid w:val="00341A0E"/>
    <w:pPr>
      <w:tabs>
        <w:tab w:val="left" w:pos="1080"/>
      </w:tabs>
      <w:spacing w:before="240" w:after="240"/>
    </w:pPr>
    <w:rPr>
      <w:rFonts w:eastAsia="Times New Roman" w:cs="Times New Roman"/>
      <w:b/>
      <w:smallCaps/>
      <w:szCs w:val="20"/>
    </w:rPr>
  </w:style>
  <w:style w:type="paragraph" w:styleId="TOC1">
    <w:name w:val="toc 1"/>
    <w:basedOn w:val="Normal"/>
    <w:next w:val="Normal"/>
    <w:autoRedefine/>
    <w:uiPriority w:val="39"/>
    <w:unhideWhenUsed/>
    <w:rsid w:val="004A4250"/>
    <w:pPr>
      <w:spacing w:after="100"/>
    </w:pPr>
  </w:style>
  <w:style w:type="character" w:customStyle="1" w:styleId="Heading1Char">
    <w:name w:val="Heading 1 Char"/>
    <w:basedOn w:val="DefaultParagraphFont"/>
    <w:link w:val="Heading1"/>
    <w:uiPriority w:val="9"/>
    <w:rsid w:val="004A42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A4250"/>
    <w:pPr>
      <w:spacing w:line="276" w:lineRule="auto"/>
      <w:outlineLvl w:val="9"/>
    </w:pPr>
    <w:rPr>
      <w:lang w:eastAsia="ja-JP"/>
    </w:rPr>
  </w:style>
  <w:style w:type="paragraph" w:styleId="NoSpacing">
    <w:name w:val="No Spacing"/>
    <w:link w:val="NoSpacingChar"/>
    <w:uiPriority w:val="1"/>
    <w:qFormat/>
    <w:rsid w:val="003F6741"/>
  </w:style>
  <w:style w:type="character" w:customStyle="1" w:styleId="Heading2Char">
    <w:name w:val="Heading 2 Char"/>
    <w:basedOn w:val="DefaultParagraphFont"/>
    <w:link w:val="Heading2"/>
    <w:uiPriority w:val="9"/>
    <w:rsid w:val="006813F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7084B"/>
    <w:pPr>
      <w:spacing w:before="100" w:beforeAutospacing="1" w:after="100" w:afterAutospacing="1"/>
    </w:pPr>
    <w:rPr>
      <w:rFonts w:eastAsia="Times New Roman" w:cs="Times New Roman"/>
    </w:rPr>
  </w:style>
  <w:style w:type="paragraph" w:customStyle="1" w:styleId="BodyText1">
    <w:name w:val="Body Text1"/>
    <w:basedOn w:val="Normal"/>
    <w:rsid w:val="007F7566"/>
    <w:pPr>
      <w:spacing w:before="120" w:after="120"/>
    </w:pPr>
    <w:rPr>
      <w:rFonts w:ascii="Arial" w:eastAsia="Times New Roman" w:hAnsi="Arial" w:cs="Times New Roman"/>
      <w:sz w:val="20"/>
      <w:szCs w:val="20"/>
    </w:rPr>
  </w:style>
  <w:style w:type="paragraph" w:customStyle="1" w:styleId="Default">
    <w:name w:val="Default"/>
    <w:rsid w:val="001C7E0F"/>
    <w:pPr>
      <w:autoSpaceDE w:val="0"/>
      <w:autoSpaceDN w:val="0"/>
      <w:adjustRightInd w:val="0"/>
    </w:pPr>
    <w:rPr>
      <w:rFonts w:cs="Times New Roman"/>
      <w:color w:val="000000"/>
    </w:rPr>
  </w:style>
  <w:style w:type="table" w:styleId="LightList">
    <w:name w:val="Light List"/>
    <w:basedOn w:val="TableNormal"/>
    <w:uiPriority w:val="61"/>
    <w:rsid w:val="00A72C5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
    <w:name w:val="Medium Shading 2"/>
    <w:basedOn w:val="TableNormal"/>
    <w:uiPriority w:val="64"/>
    <w:rsid w:val="00A72C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semiHidden/>
    <w:rsid w:val="005F7C4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F7C4B"/>
    <w:rPr>
      <w:b/>
      <w:bCs/>
    </w:rPr>
  </w:style>
  <w:style w:type="paragraph" w:styleId="BalloonText">
    <w:name w:val="Balloon Text"/>
    <w:basedOn w:val="Normal"/>
    <w:link w:val="BalloonTextChar"/>
    <w:uiPriority w:val="99"/>
    <w:semiHidden/>
    <w:unhideWhenUsed/>
    <w:rsid w:val="00442739"/>
    <w:rPr>
      <w:rFonts w:ascii="Tahoma" w:hAnsi="Tahoma" w:cs="Tahoma"/>
      <w:sz w:val="16"/>
      <w:szCs w:val="16"/>
    </w:rPr>
  </w:style>
  <w:style w:type="character" w:customStyle="1" w:styleId="BalloonTextChar">
    <w:name w:val="Balloon Text Char"/>
    <w:basedOn w:val="DefaultParagraphFont"/>
    <w:link w:val="BalloonText"/>
    <w:uiPriority w:val="99"/>
    <w:semiHidden/>
    <w:rsid w:val="00442739"/>
    <w:rPr>
      <w:rFonts w:ascii="Tahoma" w:hAnsi="Tahoma" w:cs="Tahoma"/>
      <w:sz w:val="16"/>
      <w:szCs w:val="16"/>
    </w:rPr>
  </w:style>
  <w:style w:type="character" w:styleId="FollowedHyperlink">
    <w:name w:val="FollowedHyperlink"/>
    <w:basedOn w:val="DefaultParagraphFont"/>
    <w:uiPriority w:val="99"/>
    <w:semiHidden/>
    <w:unhideWhenUsed/>
    <w:rsid w:val="00927E93"/>
    <w:rPr>
      <w:color w:val="800080" w:themeColor="followedHyperlink"/>
      <w:u w:val="single"/>
    </w:rPr>
  </w:style>
  <w:style w:type="paragraph" w:styleId="Header">
    <w:name w:val="header"/>
    <w:basedOn w:val="Normal"/>
    <w:link w:val="HeaderChar"/>
    <w:uiPriority w:val="99"/>
    <w:unhideWhenUsed/>
    <w:rsid w:val="009D60F7"/>
    <w:pPr>
      <w:tabs>
        <w:tab w:val="center" w:pos="4680"/>
        <w:tab w:val="right" w:pos="9360"/>
      </w:tabs>
    </w:pPr>
  </w:style>
  <w:style w:type="character" w:customStyle="1" w:styleId="HeaderChar">
    <w:name w:val="Header Char"/>
    <w:basedOn w:val="DefaultParagraphFont"/>
    <w:link w:val="Header"/>
    <w:uiPriority w:val="99"/>
    <w:rsid w:val="009D60F7"/>
  </w:style>
  <w:style w:type="paragraph" w:styleId="Footer">
    <w:name w:val="footer"/>
    <w:basedOn w:val="Normal"/>
    <w:link w:val="FooterChar"/>
    <w:uiPriority w:val="99"/>
    <w:unhideWhenUsed/>
    <w:rsid w:val="009D60F7"/>
    <w:pPr>
      <w:tabs>
        <w:tab w:val="center" w:pos="4680"/>
        <w:tab w:val="right" w:pos="9360"/>
      </w:tabs>
    </w:pPr>
  </w:style>
  <w:style w:type="character" w:customStyle="1" w:styleId="FooterChar">
    <w:name w:val="Footer Char"/>
    <w:basedOn w:val="DefaultParagraphFont"/>
    <w:link w:val="Footer"/>
    <w:uiPriority w:val="99"/>
    <w:rsid w:val="009D60F7"/>
  </w:style>
  <w:style w:type="paragraph" w:customStyle="1" w:styleId="TableParagraph">
    <w:name w:val="Table Paragraph"/>
    <w:basedOn w:val="Normal"/>
    <w:uiPriority w:val="1"/>
    <w:qFormat/>
    <w:rsid w:val="00930A13"/>
    <w:pPr>
      <w:widowControl w:val="0"/>
    </w:pPr>
    <w:rPr>
      <w:rFonts w:asciiTheme="minorHAnsi" w:hAnsiTheme="minorHAnsi"/>
      <w:sz w:val="22"/>
      <w:szCs w:val="22"/>
    </w:rPr>
  </w:style>
  <w:style w:type="character" w:customStyle="1" w:styleId="NoSpacingChar">
    <w:name w:val="No Spacing Char"/>
    <w:basedOn w:val="DefaultParagraphFont"/>
    <w:link w:val="NoSpacing"/>
    <w:uiPriority w:val="1"/>
    <w:rsid w:val="009211A5"/>
  </w:style>
  <w:style w:type="paragraph" w:customStyle="1" w:styleId="DTextJusified">
    <w:name w:val="DText Jusified"/>
    <w:link w:val="DTextJusifiedChar"/>
    <w:rsid w:val="00E26903"/>
    <w:pPr>
      <w:jc w:val="both"/>
    </w:pPr>
    <w:rPr>
      <w:rFonts w:ascii="Arial" w:eastAsia="Times New Roman" w:hAnsi="Arial" w:cs="Times New Roman"/>
      <w:noProof/>
      <w:sz w:val="20"/>
      <w:szCs w:val="20"/>
    </w:rPr>
  </w:style>
  <w:style w:type="character" w:customStyle="1" w:styleId="DTextJusifiedChar">
    <w:name w:val="DText Jusified Char"/>
    <w:basedOn w:val="DefaultParagraphFont"/>
    <w:link w:val="DTextJusified"/>
    <w:rsid w:val="00E26903"/>
    <w:rPr>
      <w:rFonts w:ascii="Arial" w:eastAsia="Times New Roman" w:hAnsi="Arial"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99">
      <w:bodyDiv w:val="1"/>
      <w:marLeft w:val="0"/>
      <w:marRight w:val="0"/>
      <w:marTop w:val="0"/>
      <w:marBottom w:val="0"/>
      <w:divBdr>
        <w:top w:val="none" w:sz="0" w:space="0" w:color="auto"/>
        <w:left w:val="none" w:sz="0" w:space="0" w:color="auto"/>
        <w:bottom w:val="none" w:sz="0" w:space="0" w:color="auto"/>
        <w:right w:val="none" w:sz="0" w:space="0" w:color="auto"/>
      </w:divBdr>
    </w:div>
    <w:div w:id="66195697">
      <w:bodyDiv w:val="1"/>
      <w:marLeft w:val="0"/>
      <w:marRight w:val="0"/>
      <w:marTop w:val="0"/>
      <w:marBottom w:val="0"/>
      <w:divBdr>
        <w:top w:val="none" w:sz="0" w:space="0" w:color="auto"/>
        <w:left w:val="none" w:sz="0" w:space="0" w:color="auto"/>
        <w:bottom w:val="none" w:sz="0" w:space="0" w:color="auto"/>
        <w:right w:val="none" w:sz="0" w:space="0" w:color="auto"/>
      </w:divBdr>
    </w:div>
    <w:div w:id="98067147">
      <w:bodyDiv w:val="1"/>
      <w:marLeft w:val="0"/>
      <w:marRight w:val="0"/>
      <w:marTop w:val="0"/>
      <w:marBottom w:val="0"/>
      <w:divBdr>
        <w:top w:val="none" w:sz="0" w:space="0" w:color="auto"/>
        <w:left w:val="none" w:sz="0" w:space="0" w:color="auto"/>
        <w:bottom w:val="none" w:sz="0" w:space="0" w:color="auto"/>
        <w:right w:val="none" w:sz="0" w:space="0" w:color="auto"/>
      </w:divBdr>
      <w:divsChild>
        <w:div w:id="842933617">
          <w:marLeft w:val="547"/>
          <w:marRight w:val="0"/>
          <w:marTop w:val="115"/>
          <w:marBottom w:val="0"/>
          <w:divBdr>
            <w:top w:val="none" w:sz="0" w:space="0" w:color="auto"/>
            <w:left w:val="none" w:sz="0" w:space="0" w:color="auto"/>
            <w:bottom w:val="none" w:sz="0" w:space="0" w:color="auto"/>
            <w:right w:val="none" w:sz="0" w:space="0" w:color="auto"/>
          </w:divBdr>
        </w:div>
      </w:divsChild>
    </w:div>
    <w:div w:id="349112294">
      <w:bodyDiv w:val="1"/>
      <w:marLeft w:val="0"/>
      <w:marRight w:val="0"/>
      <w:marTop w:val="0"/>
      <w:marBottom w:val="0"/>
      <w:divBdr>
        <w:top w:val="none" w:sz="0" w:space="0" w:color="auto"/>
        <w:left w:val="none" w:sz="0" w:space="0" w:color="auto"/>
        <w:bottom w:val="none" w:sz="0" w:space="0" w:color="auto"/>
        <w:right w:val="none" w:sz="0" w:space="0" w:color="auto"/>
      </w:divBdr>
    </w:div>
    <w:div w:id="399866191">
      <w:bodyDiv w:val="1"/>
      <w:marLeft w:val="0"/>
      <w:marRight w:val="0"/>
      <w:marTop w:val="0"/>
      <w:marBottom w:val="0"/>
      <w:divBdr>
        <w:top w:val="none" w:sz="0" w:space="0" w:color="auto"/>
        <w:left w:val="none" w:sz="0" w:space="0" w:color="auto"/>
        <w:bottom w:val="none" w:sz="0" w:space="0" w:color="auto"/>
        <w:right w:val="none" w:sz="0" w:space="0" w:color="auto"/>
      </w:divBdr>
    </w:div>
    <w:div w:id="558439398">
      <w:bodyDiv w:val="1"/>
      <w:marLeft w:val="0"/>
      <w:marRight w:val="0"/>
      <w:marTop w:val="0"/>
      <w:marBottom w:val="0"/>
      <w:divBdr>
        <w:top w:val="none" w:sz="0" w:space="0" w:color="auto"/>
        <w:left w:val="none" w:sz="0" w:space="0" w:color="auto"/>
        <w:bottom w:val="none" w:sz="0" w:space="0" w:color="auto"/>
        <w:right w:val="none" w:sz="0" w:space="0" w:color="auto"/>
      </w:divBdr>
    </w:div>
    <w:div w:id="571698994">
      <w:bodyDiv w:val="1"/>
      <w:marLeft w:val="0"/>
      <w:marRight w:val="0"/>
      <w:marTop w:val="0"/>
      <w:marBottom w:val="0"/>
      <w:divBdr>
        <w:top w:val="none" w:sz="0" w:space="0" w:color="auto"/>
        <w:left w:val="none" w:sz="0" w:space="0" w:color="auto"/>
        <w:bottom w:val="none" w:sz="0" w:space="0" w:color="auto"/>
        <w:right w:val="none" w:sz="0" w:space="0" w:color="auto"/>
      </w:divBdr>
    </w:div>
    <w:div w:id="665132395">
      <w:bodyDiv w:val="1"/>
      <w:marLeft w:val="0"/>
      <w:marRight w:val="0"/>
      <w:marTop w:val="0"/>
      <w:marBottom w:val="0"/>
      <w:divBdr>
        <w:top w:val="none" w:sz="0" w:space="0" w:color="auto"/>
        <w:left w:val="none" w:sz="0" w:space="0" w:color="auto"/>
        <w:bottom w:val="none" w:sz="0" w:space="0" w:color="auto"/>
        <w:right w:val="none" w:sz="0" w:space="0" w:color="auto"/>
      </w:divBdr>
    </w:div>
    <w:div w:id="725184201">
      <w:bodyDiv w:val="1"/>
      <w:marLeft w:val="0"/>
      <w:marRight w:val="0"/>
      <w:marTop w:val="0"/>
      <w:marBottom w:val="0"/>
      <w:divBdr>
        <w:top w:val="none" w:sz="0" w:space="0" w:color="auto"/>
        <w:left w:val="none" w:sz="0" w:space="0" w:color="auto"/>
        <w:bottom w:val="none" w:sz="0" w:space="0" w:color="auto"/>
        <w:right w:val="none" w:sz="0" w:space="0" w:color="auto"/>
      </w:divBdr>
    </w:div>
    <w:div w:id="792946640">
      <w:bodyDiv w:val="1"/>
      <w:marLeft w:val="0"/>
      <w:marRight w:val="0"/>
      <w:marTop w:val="0"/>
      <w:marBottom w:val="0"/>
      <w:divBdr>
        <w:top w:val="none" w:sz="0" w:space="0" w:color="auto"/>
        <w:left w:val="none" w:sz="0" w:space="0" w:color="auto"/>
        <w:bottom w:val="none" w:sz="0" w:space="0" w:color="auto"/>
        <w:right w:val="none" w:sz="0" w:space="0" w:color="auto"/>
      </w:divBdr>
      <w:divsChild>
        <w:div w:id="742989364">
          <w:marLeft w:val="0"/>
          <w:marRight w:val="0"/>
          <w:marTop w:val="100"/>
          <w:marBottom w:val="100"/>
          <w:divBdr>
            <w:top w:val="none" w:sz="0" w:space="0" w:color="auto"/>
            <w:left w:val="single" w:sz="6" w:space="0" w:color="FFFFFF"/>
            <w:bottom w:val="single" w:sz="6" w:space="0" w:color="FFFFFF"/>
            <w:right w:val="single" w:sz="6" w:space="0" w:color="FFFFFF"/>
          </w:divBdr>
          <w:divsChild>
            <w:div w:id="869417736">
              <w:marLeft w:val="0"/>
              <w:marRight w:val="0"/>
              <w:marTop w:val="0"/>
              <w:marBottom w:val="0"/>
              <w:divBdr>
                <w:top w:val="none" w:sz="0" w:space="0" w:color="auto"/>
                <w:left w:val="single" w:sz="6" w:space="0" w:color="FFFFFF"/>
                <w:bottom w:val="none" w:sz="0" w:space="0" w:color="auto"/>
                <w:right w:val="none" w:sz="0" w:space="0" w:color="auto"/>
              </w:divBdr>
              <w:divsChild>
                <w:div w:id="1430809649">
                  <w:marLeft w:val="0"/>
                  <w:marRight w:val="0"/>
                  <w:marTop w:val="0"/>
                  <w:marBottom w:val="0"/>
                  <w:divBdr>
                    <w:top w:val="none" w:sz="0" w:space="0" w:color="auto"/>
                    <w:left w:val="single" w:sz="6" w:space="0" w:color="000000"/>
                    <w:bottom w:val="none" w:sz="0" w:space="0" w:color="auto"/>
                    <w:right w:val="none" w:sz="0" w:space="0" w:color="auto"/>
                  </w:divBdr>
                  <w:divsChild>
                    <w:div w:id="131758044">
                      <w:marLeft w:val="0"/>
                      <w:marRight w:val="0"/>
                      <w:marTop w:val="0"/>
                      <w:marBottom w:val="0"/>
                      <w:divBdr>
                        <w:top w:val="none" w:sz="0" w:space="0" w:color="auto"/>
                        <w:left w:val="single" w:sz="6" w:space="0" w:color="FFFFFF"/>
                        <w:bottom w:val="none" w:sz="0" w:space="0" w:color="auto"/>
                        <w:right w:val="none" w:sz="0" w:space="0" w:color="auto"/>
                      </w:divBdr>
                      <w:divsChild>
                        <w:div w:id="2055930190">
                          <w:marLeft w:val="120"/>
                          <w:marRight w:val="120"/>
                          <w:marTop w:val="0"/>
                          <w:marBottom w:val="120"/>
                          <w:divBdr>
                            <w:top w:val="single" w:sz="6" w:space="0" w:color="000000"/>
                            <w:left w:val="single" w:sz="6" w:space="0" w:color="000000"/>
                            <w:bottom w:val="single" w:sz="6" w:space="0" w:color="000000"/>
                            <w:right w:val="single" w:sz="6" w:space="0" w:color="000000"/>
                          </w:divBdr>
                          <w:divsChild>
                            <w:div w:id="456217219">
                              <w:marLeft w:val="15"/>
                              <w:marRight w:val="15"/>
                              <w:marTop w:val="15"/>
                              <w:marBottom w:val="15"/>
                              <w:divBdr>
                                <w:top w:val="single" w:sz="18" w:space="0" w:color="C8E07F"/>
                                <w:left w:val="none" w:sz="0" w:space="0" w:color="auto"/>
                                <w:bottom w:val="single" w:sz="18" w:space="0" w:color="C8E07F"/>
                                <w:right w:val="none" w:sz="0" w:space="0" w:color="auto"/>
                              </w:divBdr>
                            </w:div>
                          </w:divsChild>
                        </w:div>
                      </w:divsChild>
                    </w:div>
                  </w:divsChild>
                </w:div>
              </w:divsChild>
            </w:div>
          </w:divsChild>
        </w:div>
      </w:divsChild>
    </w:div>
    <w:div w:id="971792153">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101340039">
      <w:bodyDiv w:val="1"/>
      <w:marLeft w:val="0"/>
      <w:marRight w:val="0"/>
      <w:marTop w:val="0"/>
      <w:marBottom w:val="0"/>
      <w:divBdr>
        <w:top w:val="none" w:sz="0" w:space="0" w:color="auto"/>
        <w:left w:val="none" w:sz="0" w:space="0" w:color="auto"/>
        <w:bottom w:val="none" w:sz="0" w:space="0" w:color="auto"/>
        <w:right w:val="none" w:sz="0" w:space="0" w:color="auto"/>
      </w:divBdr>
      <w:divsChild>
        <w:div w:id="1064642031">
          <w:marLeft w:val="547"/>
          <w:marRight w:val="0"/>
          <w:marTop w:val="115"/>
          <w:marBottom w:val="0"/>
          <w:divBdr>
            <w:top w:val="none" w:sz="0" w:space="0" w:color="auto"/>
            <w:left w:val="none" w:sz="0" w:space="0" w:color="auto"/>
            <w:bottom w:val="none" w:sz="0" w:space="0" w:color="auto"/>
            <w:right w:val="none" w:sz="0" w:space="0" w:color="auto"/>
          </w:divBdr>
        </w:div>
        <w:div w:id="1831016170">
          <w:marLeft w:val="1267"/>
          <w:marRight w:val="0"/>
          <w:marTop w:val="115"/>
          <w:marBottom w:val="0"/>
          <w:divBdr>
            <w:top w:val="none" w:sz="0" w:space="0" w:color="auto"/>
            <w:left w:val="none" w:sz="0" w:space="0" w:color="auto"/>
            <w:bottom w:val="none" w:sz="0" w:space="0" w:color="auto"/>
            <w:right w:val="none" w:sz="0" w:space="0" w:color="auto"/>
          </w:divBdr>
        </w:div>
        <w:div w:id="2039817196">
          <w:marLeft w:val="1267"/>
          <w:marRight w:val="0"/>
          <w:marTop w:val="115"/>
          <w:marBottom w:val="0"/>
          <w:divBdr>
            <w:top w:val="none" w:sz="0" w:space="0" w:color="auto"/>
            <w:left w:val="none" w:sz="0" w:space="0" w:color="auto"/>
            <w:bottom w:val="none" w:sz="0" w:space="0" w:color="auto"/>
            <w:right w:val="none" w:sz="0" w:space="0" w:color="auto"/>
          </w:divBdr>
        </w:div>
        <w:div w:id="349450565">
          <w:marLeft w:val="1267"/>
          <w:marRight w:val="0"/>
          <w:marTop w:val="115"/>
          <w:marBottom w:val="0"/>
          <w:divBdr>
            <w:top w:val="none" w:sz="0" w:space="0" w:color="auto"/>
            <w:left w:val="none" w:sz="0" w:space="0" w:color="auto"/>
            <w:bottom w:val="none" w:sz="0" w:space="0" w:color="auto"/>
            <w:right w:val="none" w:sz="0" w:space="0" w:color="auto"/>
          </w:divBdr>
        </w:div>
      </w:divsChild>
    </w:div>
    <w:div w:id="1233930744">
      <w:bodyDiv w:val="1"/>
      <w:marLeft w:val="0"/>
      <w:marRight w:val="0"/>
      <w:marTop w:val="0"/>
      <w:marBottom w:val="0"/>
      <w:divBdr>
        <w:top w:val="none" w:sz="0" w:space="0" w:color="auto"/>
        <w:left w:val="none" w:sz="0" w:space="0" w:color="auto"/>
        <w:bottom w:val="none" w:sz="0" w:space="0" w:color="auto"/>
        <w:right w:val="none" w:sz="0" w:space="0" w:color="auto"/>
      </w:divBdr>
    </w:div>
    <w:div w:id="1429735381">
      <w:bodyDiv w:val="1"/>
      <w:marLeft w:val="0"/>
      <w:marRight w:val="0"/>
      <w:marTop w:val="0"/>
      <w:marBottom w:val="0"/>
      <w:divBdr>
        <w:top w:val="none" w:sz="0" w:space="0" w:color="auto"/>
        <w:left w:val="none" w:sz="0" w:space="0" w:color="auto"/>
        <w:bottom w:val="none" w:sz="0" w:space="0" w:color="auto"/>
        <w:right w:val="none" w:sz="0" w:space="0" w:color="auto"/>
      </w:divBdr>
    </w:div>
    <w:div w:id="1431387298">
      <w:bodyDiv w:val="1"/>
      <w:marLeft w:val="0"/>
      <w:marRight w:val="0"/>
      <w:marTop w:val="0"/>
      <w:marBottom w:val="0"/>
      <w:divBdr>
        <w:top w:val="none" w:sz="0" w:space="0" w:color="auto"/>
        <w:left w:val="none" w:sz="0" w:space="0" w:color="auto"/>
        <w:bottom w:val="none" w:sz="0" w:space="0" w:color="auto"/>
        <w:right w:val="none" w:sz="0" w:space="0" w:color="auto"/>
      </w:divBdr>
    </w:div>
    <w:div w:id="1496997726">
      <w:bodyDiv w:val="1"/>
      <w:marLeft w:val="0"/>
      <w:marRight w:val="0"/>
      <w:marTop w:val="0"/>
      <w:marBottom w:val="0"/>
      <w:divBdr>
        <w:top w:val="none" w:sz="0" w:space="0" w:color="auto"/>
        <w:left w:val="none" w:sz="0" w:space="0" w:color="auto"/>
        <w:bottom w:val="none" w:sz="0" w:space="0" w:color="auto"/>
        <w:right w:val="none" w:sz="0" w:space="0" w:color="auto"/>
      </w:divBdr>
    </w:div>
    <w:div w:id="1498109508">
      <w:bodyDiv w:val="1"/>
      <w:marLeft w:val="0"/>
      <w:marRight w:val="0"/>
      <w:marTop w:val="0"/>
      <w:marBottom w:val="0"/>
      <w:divBdr>
        <w:top w:val="none" w:sz="0" w:space="0" w:color="auto"/>
        <w:left w:val="none" w:sz="0" w:space="0" w:color="auto"/>
        <w:bottom w:val="none" w:sz="0" w:space="0" w:color="auto"/>
        <w:right w:val="none" w:sz="0" w:space="0" w:color="auto"/>
      </w:divBdr>
    </w:div>
    <w:div w:id="1682538294">
      <w:bodyDiv w:val="1"/>
      <w:marLeft w:val="0"/>
      <w:marRight w:val="0"/>
      <w:marTop w:val="0"/>
      <w:marBottom w:val="0"/>
      <w:divBdr>
        <w:top w:val="none" w:sz="0" w:space="0" w:color="auto"/>
        <w:left w:val="none" w:sz="0" w:space="0" w:color="auto"/>
        <w:bottom w:val="none" w:sz="0" w:space="0" w:color="auto"/>
        <w:right w:val="none" w:sz="0" w:space="0" w:color="auto"/>
      </w:divBdr>
    </w:div>
    <w:div w:id="1906452493">
      <w:bodyDiv w:val="1"/>
      <w:marLeft w:val="0"/>
      <w:marRight w:val="0"/>
      <w:marTop w:val="0"/>
      <w:marBottom w:val="0"/>
      <w:divBdr>
        <w:top w:val="none" w:sz="0" w:space="0" w:color="auto"/>
        <w:left w:val="none" w:sz="0" w:space="0" w:color="auto"/>
        <w:bottom w:val="none" w:sz="0" w:space="0" w:color="auto"/>
        <w:right w:val="none" w:sz="0" w:space="0" w:color="auto"/>
      </w:divBdr>
    </w:div>
    <w:div w:id="1954241237">
      <w:bodyDiv w:val="1"/>
      <w:marLeft w:val="0"/>
      <w:marRight w:val="0"/>
      <w:marTop w:val="0"/>
      <w:marBottom w:val="0"/>
      <w:divBdr>
        <w:top w:val="none" w:sz="0" w:space="0" w:color="auto"/>
        <w:left w:val="none" w:sz="0" w:space="0" w:color="auto"/>
        <w:bottom w:val="none" w:sz="0" w:space="0" w:color="auto"/>
        <w:right w:val="none" w:sz="0" w:space="0" w:color="auto"/>
      </w:divBdr>
    </w:div>
    <w:div w:id="1988317624">
      <w:bodyDiv w:val="1"/>
      <w:marLeft w:val="0"/>
      <w:marRight w:val="0"/>
      <w:marTop w:val="0"/>
      <w:marBottom w:val="0"/>
      <w:divBdr>
        <w:top w:val="none" w:sz="0" w:space="0" w:color="auto"/>
        <w:left w:val="none" w:sz="0" w:space="0" w:color="auto"/>
        <w:bottom w:val="none" w:sz="0" w:space="0" w:color="auto"/>
        <w:right w:val="none" w:sz="0" w:space="0" w:color="auto"/>
      </w:divBdr>
    </w:div>
    <w:div w:id="2013100158">
      <w:bodyDiv w:val="1"/>
      <w:marLeft w:val="0"/>
      <w:marRight w:val="0"/>
      <w:marTop w:val="0"/>
      <w:marBottom w:val="0"/>
      <w:divBdr>
        <w:top w:val="none" w:sz="0" w:space="0" w:color="auto"/>
        <w:left w:val="none" w:sz="0" w:space="0" w:color="auto"/>
        <w:bottom w:val="none" w:sz="0" w:space="0" w:color="auto"/>
        <w:right w:val="none" w:sz="0" w:space="0" w:color="auto"/>
      </w:divBdr>
    </w:div>
    <w:div w:id="20288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4.png@01D0896F.D5F6A270" TargetMode="External"/><Relationship Id="rId18" Type="http://schemas.openxmlformats.org/officeDocument/2006/relationships/image" Target="media/image6.emf"/><Relationship Id="rId26" Type="http://schemas.openxmlformats.org/officeDocument/2006/relationships/image" Target="media/image9.emf"/><Relationship Id="rId39" Type="http://schemas.openxmlformats.org/officeDocument/2006/relationships/package" Target="embeddings/Microsoft_Excel_Worksheet11.xlsx"/><Relationship Id="rId21" Type="http://schemas.openxmlformats.org/officeDocument/2006/relationships/chart" Target="charts/chart2.xml"/><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Excel_Worksheet15.xlsx"/><Relationship Id="rId50" Type="http://schemas.openxmlformats.org/officeDocument/2006/relationships/image" Target="media/image22.emf"/><Relationship Id="rId55" Type="http://schemas.openxmlformats.org/officeDocument/2006/relationships/image" Target="media/image24.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chart" Target="charts/chart1.xml"/><Relationship Id="rId29" Type="http://schemas.openxmlformats.org/officeDocument/2006/relationships/footer" Target="footer1.xml"/><Relationship Id="rId41" Type="http://schemas.openxmlformats.org/officeDocument/2006/relationships/package" Target="embeddings/Microsoft_Excel_Worksheet12.xlsx"/><Relationship Id="rId54" Type="http://schemas.openxmlformats.org/officeDocument/2006/relationships/package" Target="embeddings/Microsoft_Excel_Worksheet18.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chart" Target="charts/chart3.xml"/><Relationship Id="rId32" Type="http://schemas.openxmlformats.org/officeDocument/2006/relationships/image" Target="media/image13.emf"/><Relationship Id="rId37" Type="http://schemas.openxmlformats.org/officeDocument/2006/relationships/package" Target="embeddings/Microsoft_Excel_Worksheet10.xlsx"/><Relationship Id="rId40" Type="http://schemas.openxmlformats.org/officeDocument/2006/relationships/image" Target="media/image17.emf"/><Relationship Id="rId45" Type="http://schemas.openxmlformats.org/officeDocument/2006/relationships/package" Target="embeddings/Microsoft_Excel_Worksheet14.xlsx"/><Relationship Id="rId53" Type="http://schemas.openxmlformats.org/officeDocument/2006/relationships/image" Target="media/image23.emf"/><Relationship Id="rId58" Type="http://schemas.openxmlformats.org/officeDocument/2006/relationships/package" Target="embeddings/Microsoft_Excel_Worksheet20.xlsx"/><Relationship Id="rId5" Type="http://schemas.openxmlformats.org/officeDocument/2006/relationships/settings" Target="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6.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6.xlsx"/><Relationship Id="rId57" Type="http://schemas.openxmlformats.org/officeDocument/2006/relationships/image" Target="media/image25.emf"/><Relationship Id="rId61" Type="http://schemas.openxmlformats.org/officeDocument/2006/relationships/theme" Target="theme/theme1.xml"/><Relationship Id="rId10" Type="http://schemas.openxmlformats.org/officeDocument/2006/relationships/hyperlink" Target="https://www.pierce.ctc.edu/about/demographics/" TargetMode="External"/><Relationship Id="rId19" Type="http://schemas.openxmlformats.org/officeDocument/2006/relationships/package" Target="embeddings/Microsoft_Excel_Worksheet3.xlsx"/><Relationship Id="rId31" Type="http://schemas.openxmlformats.org/officeDocument/2006/relationships/image" Target="media/image12.emf"/><Relationship Id="rId44" Type="http://schemas.openxmlformats.org/officeDocument/2006/relationships/image" Target="media/image19.emf"/><Relationship Id="rId52" Type="http://schemas.openxmlformats.org/officeDocument/2006/relationships/hyperlink" Target="http://www.drs.wa.gov/administration"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footer" Target="footer2.xml"/><Relationship Id="rId35" Type="http://schemas.openxmlformats.org/officeDocument/2006/relationships/package" Target="embeddings/Microsoft_Excel_Worksheet9.xlsx"/><Relationship Id="rId43" Type="http://schemas.openxmlformats.org/officeDocument/2006/relationships/package" Target="embeddings/Microsoft_Excel_Worksheet13.xlsx"/><Relationship Id="rId48" Type="http://schemas.openxmlformats.org/officeDocument/2006/relationships/image" Target="media/image21.emf"/><Relationship Id="rId56" Type="http://schemas.openxmlformats.org/officeDocument/2006/relationships/package" Target="embeddings/Microsoft_Excel_Worksheet19.xlsx"/><Relationship Id="rId8" Type="http://schemas.openxmlformats.org/officeDocument/2006/relationships/endnotes" Target="endnotes.xml"/><Relationship Id="rId51" Type="http://schemas.openxmlformats.org/officeDocument/2006/relationships/package" Target="embeddings/Microsoft_Excel_Worksheet17.xlsx"/><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package" Target="embeddings/Microsoft_Excel_Worksheet2.xlsx"/><Relationship Id="rId25" Type="http://schemas.openxmlformats.org/officeDocument/2006/relationships/image" Target="media/image8.emf"/><Relationship Id="rId33" Type="http://schemas.openxmlformats.org/officeDocument/2006/relationships/package" Target="embeddings/Microsoft_Excel_Worksheet8.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latin typeface="Times New Roman" panose="02020603050405020304" pitchFamily="18" charset="0"/>
                <a:cs typeface="Times New Roman" panose="02020603050405020304" pitchFamily="18" charset="0"/>
              </a:defRPr>
            </a:pPr>
            <a:r>
              <a:rPr lang="en-US" sz="1800" b="1">
                <a:latin typeface="Times New Roman" panose="02020603050405020304" pitchFamily="18" charset="0"/>
                <a:cs typeface="Times New Roman" panose="02020603050405020304" pitchFamily="18" charset="0"/>
              </a:rPr>
              <a:t>Selected Elements of Revenue</a:t>
            </a:r>
          </a:p>
          <a:p>
            <a:pPr>
              <a:defRPr b="1">
                <a:latin typeface="Times New Roman" panose="02020603050405020304" pitchFamily="18" charset="0"/>
                <a:cs typeface="Times New Roman" panose="02020603050405020304" pitchFamily="18" charset="0"/>
              </a:defRPr>
            </a:pPr>
            <a:r>
              <a:rPr lang="en-US" sz="1000" b="0">
                <a:latin typeface="Times New Roman" panose="02020603050405020304" pitchFamily="18" charset="0"/>
                <a:cs typeface="Times New Roman" panose="02020603050405020304" pitchFamily="18" charset="0"/>
              </a:rPr>
              <a:t>For the Years Ended June 30, 2014  and 2013 (unaudited)</a:t>
            </a:r>
          </a:p>
          <a:p>
            <a:pPr>
              <a:defRPr b="1">
                <a:latin typeface="Times New Roman" panose="02020603050405020304" pitchFamily="18" charset="0"/>
                <a:cs typeface="Times New Roman" panose="02020603050405020304" pitchFamily="18" charset="0"/>
              </a:defRPr>
            </a:pPr>
            <a:r>
              <a:rPr lang="en-US" sz="1000" b="0">
                <a:latin typeface="Times New Roman" panose="02020603050405020304" pitchFamily="18" charset="0"/>
                <a:cs typeface="Times New Roman" panose="02020603050405020304" pitchFamily="18" charset="0"/>
              </a:rPr>
              <a:t>Note: For purposes of this chart, tuition and fees reflect amounts collected and include amounts students paid with Pell Grant proceeds</a:t>
            </a:r>
          </a:p>
        </c:rich>
      </c:tx>
      <c:layout/>
      <c:overlay val="0"/>
    </c:title>
    <c:autoTitleDeleted val="0"/>
    <c:plotArea>
      <c:layout/>
      <c:barChart>
        <c:barDir val="col"/>
        <c:grouping val="clustered"/>
        <c:varyColors val="0"/>
        <c:ser>
          <c:idx val="0"/>
          <c:order val="0"/>
          <c:tx>
            <c:strRef>
              <c:f>Sheet1!$B$1</c:f>
              <c:strCache>
                <c:ptCount val="1"/>
                <c:pt idx="0">
                  <c:v>FY 2014</c:v>
                </c:pt>
              </c:strCache>
            </c:strRef>
          </c:tx>
          <c:spPr>
            <a:solidFill>
              <a:schemeClr val="tx1">
                <a:lumMod val="65000"/>
                <a:lumOff val="35000"/>
              </a:schemeClr>
            </a:solidFill>
          </c:spPr>
          <c:invertIfNegative val="0"/>
          <c:cat>
            <c:strRef>
              <c:f>Sheet1!$A$2:$A$7</c:f>
              <c:strCache>
                <c:ptCount val="6"/>
                <c:pt idx="0">
                  <c:v>State Appropriations</c:v>
                </c:pt>
                <c:pt idx="1">
                  <c:v>Tuition &amp; Fees Collected</c:v>
                </c:pt>
                <c:pt idx="2">
                  <c:v>Pell Grants</c:v>
                </c:pt>
                <c:pt idx="3">
                  <c:v>Grants &amp; Contracts</c:v>
                </c:pt>
                <c:pt idx="4">
                  <c:v>Capital Appropriations</c:v>
                </c:pt>
                <c:pt idx="5">
                  <c:v>Investment Income</c:v>
                </c:pt>
              </c:strCache>
            </c:strRef>
          </c:cat>
          <c:val>
            <c:numRef>
              <c:f>Sheet1!$B$2:$B$7</c:f>
              <c:numCache>
                <c:formatCode>_(* #,##0_);_(* \(#,##0\);_(* "-"??_);_(@_)</c:formatCode>
                <c:ptCount val="6"/>
                <c:pt idx="0">
                  <c:v>24442057</c:v>
                </c:pt>
                <c:pt idx="1">
                  <c:v>30204887.010000002</c:v>
                </c:pt>
                <c:pt idx="2">
                  <c:v>12150534.42</c:v>
                </c:pt>
                <c:pt idx="3">
                  <c:v>18412897.280000001</c:v>
                </c:pt>
                <c:pt idx="4">
                  <c:v>1076174.6499999999</c:v>
                </c:pt>
                <c:pt idx="5">
                  <c:v>172988.39</c:v>
                </c:pt>
              </c:numCache>
            </c:numRef>
          </c:val>
        </c:ser>
        <c:ser>
          <c:idx val="1"/>
          <c:order val="1"/>
          <c:tx>
            <c:strRef>
              <c:f>Sheet1!$C$1</c:f>
              <c:strCache>
                <c:ptCount val="1"/>
                <c:pt idx="0">
                  <c:v>FY 2013 (unaudited)</c:v>
                </c:pt>
              </c:strCache>
            </c:strRef>
          </c:tx>
          <c:spPr>
            <a:solidFill>
              <a:schemeClr val="accent2">
                <a:lumMod val="50000"/>
              </a:schemeClr>
            </a:solidFill>
          </c:spPr>
          <c:invertIfNegative val="0"/>
          <c:cat>
            <c:strRef>
              <c:f>Sheet1!$A$2:$A$7</c:f>
              <c:strCache>
                <c:ptCount val="6"/>
                <c:pt idx="0">
                  <c:v>State Appropriations</c:v>
                </c:pt>
                <c:pt idx="1">
                  <c:v>Tuition &amp; Fees Collected</c:v>
                </c:pt>
                <c:pt idx="2">
                  <c:v>Pell Grants</c:v>
                </c:pt>
                <c:pt idx="3">
                  <c:v>Grants &amp; Contracts</c:v>
                </c:pt>
                <c:pt idx="4">
                  <c:v>Capital Appropriations</c:v>
                </c:pt>
                <c:pt idx="5">
                  <c:v>Investment Income</c:v>
                </c:pt>
              </c:strCache>
            </c:strRef>
          </c:cat>
          <c:val>
            <c:numRef>
              <c:f>Sheet1!$C$2:$C$7</c:f>
              <c:numCache>
                <c:formatCode>_(* #,##0_);_(* \(#,##0\);_(* "-"??_);_(@_)</c:formatCode>
                <c:ptCount val="6"/>
                <c:pt idx="0">
                  <c:v>22145443.43</c:v>
                </c:pt>
                <c:pt idx="1">
                  <c:v>32556504.600000001</c:v>
                </c:pt>
                <c:pt idx="2">
                  <c:v>12960084.369999999</c:v>
                </c:pt>
                <c:pt idx="3">
                  <c:v>16738096</c:v>
                </c:pt>
                <c:pt idx="4">
                  <c:v>5007480.6900000004</c:v>
                </c:pt>
                <c:pt idx="5">
                  <c:v>16589.39</c:v>
                </c:pt>
              </c:numCache>
            </c:numRef>
          </c:val>
        </c:ser>
        <c:dLbls>
          <c:showLegendKey val="0"/>
          <c:showVal val="0"/>
          <c:showCatName val="0"/>
          <c:showSerName val="0"/>
          <c:showPercent val="0"/>
          <c:showBubbleSize val="0"/>
        </c:dLbls>
        <c:gapWidth val="150"/>
        <c:axId val="238179168"/>
        <c:axId val="238193888"/>
      </c:barChart>
      <c:catAx>
        <c:axId val="238179168"/>
        <c:scaling>
          <c:orientation val="minMax"/>
        </c:scaling>
        <c:delete val="0"/>
        <c:axPos val="b"/>
        <c:numFmt formatCode="General" sourceLinked="1"/>
        <c:majorTickMark val="out"/>
        <c:minorTickMark val="none"/>
        <c:tickLblPos val="nextTo"/>
        <c:txPr>
          <a:bodyPr rot="-2700000" vert="horz"/>
          <a:lstStyle/>
          <a:p>
            <a:pPr>
              <a:defRPr>
                <a:latin typeface="Times New Roman" panose="02020603050405020304" pitchFamily="18" charset="0"/>
                <a:cs typeface="Times New Roman" panose="02020603050405020304" pitchFamily="18" charset="0"/>
              </a:defRPr>
            </a:pPr>
            <a:endParaRPr lang="en-US"/>
          </a:p>
        </c:txPr>
        <c:crossAx val="238193888"/>
        <c:crosses val="autoZero"/>
        <c:auto val="1"/>
        <c:lblAlgn val="ctr"/>
        <c:lblOffset val="100"/>
        <c:noMultiLvlLbl val="0"/>
      </c:catAx>
      <c:valAx>
        <c:axId val="238193888"/>
        <c:scaling>
          <c:orientation val="minMax"/>
        </c:scaling>
        <c:delete val="0"/>
        <c:axPos val="l"/>
        <c:majorGridlines/>
        <c:numFmt formatCode="_(* #,##0_);_(* \(#,##0\);_(* &quot;-&quot;??_);_(@_)" sourceLinked="1"/>
        <c:majorTickMark val="out"/>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en-US"/>
          </a:p>
        </c:txPr>
        <c:crossAx val="238179168"/>
        <c:crosses val="autoZero"/>
        <c:crossBetween val="between"/>
      </c:valAx>
    </c:plotArea>
    <c:legend>
      <c:legendPos val="r"/>
      <c:layout>
        <c:manualLayout>
          <c:xMode val="edge"/>
          <c:yMode val="edge"/>
          <c:x val="0.7846153846153846"/>
          <c:y val="0.52285712577499566"/>
          <c:w val="0.20153846153846156"/>
          <c:h val="0.1371429938000347"/>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sz="998" b="0" i="0" u="none" strike="noStrike" baseline="0">
          <a:ln>
            <a:noFill/>
          </a:ln>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8"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1799" b="1" i="0" u="none" strike="noStrike" baseline="0">
                <a:solidFill>
                  <a:srgbClr val="000000"/>
                </a:solidFill>
                <a:latin typeface="Times New Roman" panose="02020603050405020304" pitchFamily="18" charset="0"/>
                <a:cs typeface="Times New Roman" panose="02020603050405020304" pitchFamily="18" charset="0"/>
              </a:rPr>
              <a:t>Selected Elements of Expense</a:t>
            </a:r>
          </a:p>
          <a:p>
            <a:pPr>
              <a:defRPr sz="998"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sz="999" b="0" i="0" u="none" strike="noStrike" baseline="0">
                <a:solidFill>
                  <a:srgbClr val="000000"/>
                </a:solidFill>
                <a:latin typeface="Times New Roman" panose="02020603050405020304" pitchFamily="18" charset="0"/>
                <a:cs typeface="Times New Roman" panose="02020603050405020304" pitchFamily="18" charset="0"/>
              </a:rPr>
              <a:t>For the Years Ended June 30, 2014  and 2013 (unaudited)</a:t>
            </a:r>
          </a:p>
        </c:rich>
      </c:tx>
      <c:layout/>
      <c:overlay val="0"/>
    </c:title>
    <c:autoTitleDeleted val="0"/>
    <c:plotArea>
      <c:layout/>
      <c:barChart>
        <c:barDir val="col"/>
        <c:grouping val="clustered"/>
        <c:varyColors val="0"/>
        <c:ser>
          <c:idx val="0"/>
          <c:order val="0"/>
          <c:tx>
            <c:strRef>
              <c:f>Sheet1!$B$1</c:f>
              <c:strCache>
                <c:ptCount val="1"/>
                <c:pt idx="0">
                  <c:v>FY 2014</c:v>
                </c:pt>
              </c:strCache>
            </c:strRef>
          </c:tx>
          <c:spPr>
            <a:solidFill>
              <a:schemeClr val="tx1">
                <a:lumMod val="65000"/>
                <a:lumOff val="35000"/>
              </a:schemeClr>
            </a:solidFill>
          </c:spPr>
          <c:invertIfNegative val="0"/>
          <c:cat>
            <c:strRef>
              <c:f>Sheet1!$A$2:$A$7</c:f>
              <c:strCache>
                <c:ptCount val="6"/>
                <c:pt idx="0">
                  <c:v>Salaries and wages</c:v>
                </c:pt>
                <c:pt idx="1">
                  <c:v>Benefits</c:v>
                </c:pt>
                <c:pt idx="2">
                  <c:v>Utilities</c:v>
                </c:pt>
                <c:pt idx="3">
                  <c:v>Supplies and materials</c:v>
                </c:pt>
                <c:pt idx="4">
                  <c:v>Purchased Services</c:v>
                </c:pt>
                <c:pt idx="5">
                  <c:v>Depreciation</c:v>
                </c:pt>
              </c:strCache>
            </c:strRef>
          </c:cat>
          <c:val>
            <c:numRef>
              <c:f>Sheet1!$B$2:$B$7</c:f>
              <c:numCache>
                <c:formatCode>_(* #,##0_);_(* \(#,##0\);_(* "-"??_);_(@_)</c:formatCode>
                <c:ptCount val="6"/>
                <c:pt idx="0">
                  <c:v>36182144</c:v>
                </c:pt>
                <c:pt idx="1">
                  <c:v>11885599</c:v>
                </c:pt>
                <c:pt idx="2">
                  <c:v>1176890</c:v>
                </c:pt>
                <c:pt idx="3">
                  <c:v>1467200</c:v>
                </c:pt>
                <c:pt idx="4">
                  <c:v>2437766</c:v>
                </c:pt>
                <c:pt idx="5">
                  <c:v>5072434</c:v>
                </c:pt>
              </c:numCache>
            </c:numRef>
          </c:val>
        </c:ser>
        <c:ser>
          <c:idx val="1"/>
          <c:order val="1"/>
          <c:tx>
            <c:strRef>
              <c:f>Sheet1!$C$1</c:f>
              <c:strCache>
                <c:ptCount val="1"/>
                <c:pt idx="0">
                  <c:v>FY 2013 (unaudited)</c:v>
                </c:pt>
              </c:strCache>
            </c:strRef>
          </c:tx>
          <c:spPr>
            <a:solidFill>
              <a:schemeClr val="accent2">
                <a:lumMod val="50000"/>
              </a:schemeClr>
            </a:solidFill>
          </c:spPr>
          <c:invertIfNegative val="0"/>
          <c:cat>
            <c:strRef>
              <c:f>Sheet1!$A$2:$A$7</c:f>
              <c:strCache>
                <c:ptCount val="6"/>
                <c:pt idx="0">
                  <c:v>Salaries and wages</c:v>
                </c:pt>
                <c:pt idx="1">
                  <c:v>Benefits</c:v>
                </c:pt>
                <c:pt idx="2">
                  <c:v>Utilities</c:v>
                </c:pt>
                <c:pt idx="3">
                  <c:v>Supplies and materials</c:v>
                </c:pt>
                <c:pt idx="4">
                  <c:v>Purchased Services</c:v>
                </c:pt>
                <c:pt idx="5">
                  <c:v>Depreciation</c:v>
                </c:pt>
              </c:strCache>
            </c:strRef>
          </c:cat>
          <c:val>
            <c:numRef>
              <c:f>Sheet1!$C$2:$C$7</c:f>
              <c:numCache>
                <c:formatCode>_(* #,##0_);_(* \(#,##0\);_(* "-"??_);_(@_)</c:formatCode>
                <c:ptCount val="6"/>
                <c:pt idx="0">
                  <c:v>34514246</c:v>
                </c:pt>
                <c:pt idx="1">
                  <c:v>11493659</c:v>
                </c:pt>
                <c:pt idx="2">
                  <c:v>1191851</c:v>
                </c:pt>
                <c:pt idx="3">
                  <c:v>2476259</c:v>
                </c:pt>
                <c:pt idx="4">
                  <c:v>2245277</c:v>
                </c:pt>
                <c:pt idx="5">
                  <c:v>4884668</c:v>
                </c:pt>
              </c:numCache>
            </c:numRef>
          </c:val>
        </c:ser>
        <c:dLbls>
          <c:showLegendKey val="0"/>
          <c:showVal val="0"/>
          <c:showCatName val="0"/>
          <c:showSerName val="0"/>
          <c:showPercent val="0"/>
          <c:showBubbleSize val="0"/>
        </c:dLbls>
        <c:gapWidth val="150"/>
        <c:axId val="238293112"/>
        <c:axId val="238293496"/>
      </c:barChart>
      <c:catAx>
        <c:axId val="238293112"/>
        <c:scaling>
          <c:orientation val="minMax"/>
        </c:scaling>
        <c:delete val="0"/>
        <c:axPos val="b"/>
        <c:numFmt formatCode="General" sourceLinked="1"/>
        <c:majorTickMark val="out"/>
        <c:minorTickMark val="none"/>
        <c:tickLblPos val="nextTo"/>
        <c:txPr>
          <a:bodyPr rot="-2700000" vert="horz"/>
          <a:lstStyle/>
          <a:p>
            <a:pPr>
              <a:defRPr sz="999"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38293496"/>
        <c:crosses val="autoZero"/>
        <c:auto val="1"/>
        <c:lblAlgn val="ctr"/>
        <c:lblOffset val="100"/>
        <c:noMultiLvlLbl val="0"/>
      </c:catAx>
      <c:valAx>
        <c:axId val="238293496"/>
        <c:scaling>
          <c:orientation val="minMax"/>
        </c:scaling>
        <c:delete val="0"/>
        <c:axPos val="l"/>
        <c:majorGridlines/>
        <c:numFmt formatCode="_(* #,##0_);_(* \(#,##0\);_(* &quot;-&quot;??_);_(@_)" sourceLinked="1"/>
        <c:majorTickMark val="out"/>
        <c:minorTickMark val="none"/>
        <c:tickLblPos val="nextTo"/>
        <c:txPr>
          <a:bodyPr rot="0" vert="horz"/>
          <a:lstStyle/>
          <a:p>
            <a:pPr>
              <a:defRPr sz="999"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crossAx val="238293112"/>
        <c:crosses val="autoZero"/>
        <c:crossBetween val="between"/>
      </c:valAx>
    </c:plotArea>
    <c:legend>
      <c:legendPos val="r"/>
      <c:layout>
        <c:manualLayout>
          <c:xMode val="edge"/>
          <c:yMode val="edge"/>
          <c:x val="0.76655622500628717"/>
          <c:y val="0.49546832008317798"/>
          <c:w val="0.2168874437254048"/>
          <c:h val="0.14501502529575105"/>
        </c:manualLayout>
      </c:layout>
      <c:overlay val="0"/>
      <c:txPr>
        <a:bodyPr/>
        <a:lstStyle/>
        <a:p>
          <a:pPr>
            <a:defRPr sz="919"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Unemployment Rates</a:t>
            </a:r>
          </a:p>
        </c:rich>
      </c:tx>
      <c:layout/>
      <c:overlay val="0"/>
    </c:title>
    <c:autoTitleDeleted val="0"/>
    <c:plotArea>
      <c:layout/>
      <c:lineChart>
        <c:grouping val="standard"/>
        <c:varyColors val="0"/>
        <c:ser>
          <c:idx val="0"/>
          <c:order val="0"/>
          <c:tx>
            <c:strRef>
              <c:f>Sheet1!$B$1</c:f>
              <c:strCache>
                <c:ptCount val="1"/>
                <c:pt idx="0">
                  <c:v>Washington</c:v>
                </c:pt>
              </c:strCache>
            </c:strRef>
          </c:tx>
          <c:spPr>
            <a:ln>
              <a:solidFill>
                <a:schemeClr val="accent2">
                  <a:lumMod val="50000"/>
                </a:schemeClr>
              </a:solidFill>
            </a:ln>
          </c:spPr>
          <c:marker>
            <c:symbol val="none"/>
          </c:marker>
          <c:cat>
            <c:numRef>
              <c:f>Sheet1!$A$2:$A$7</c:f>
              <c:numCache>
                <c:formatCode>General</c:formatCode>
                <c:ptCount val="6"/>
                <c:pt idx="0">
                  <c:v>2007</c:v>
                </c:pt>
                <c:pt idx="1">
                  <c:v>2008</c:v>
                </c:pt>
                <c:pt idx="2">
                  <c:v>2009</c:v>
                </c:pt>
                <c:pt idx="3">
                  <c:v>2010</c:v>
                </c:pt>
                <c:pt idx="4">
                  <c:v>2011</c:v>
                </c:pt>
                <c:pt idx="5">
                  <c:v>2012</c:v>
                </c:pt>
              </c:numCache>
            </c:numRef>
          </c:cat>
          <c:val>
            <c:numRef>
              <c:f>Sheet1!$B$2:$B$7</c:f>
              <c:numCache>
                <c:formatCode>0.00%</c:formatCode>
                <c:ptCount val="6"/>
                <c:pt idx="0">
                  <c:v>4.4999999999999998E-2</c:v>
                </c:pt>
                <c:pt idx="1">
                  <c:v>5.5E-2</c:v>
                </c:pt>
                <c:pt idx="2">
                  <c:v>9.2999999999999999E-2</c:v>
                </c:pt>
                <c:pt idx="3">
                  <c:v>9.9000000000000005E-2</c:v>
                </c:pt>
                <c:pt idx="4">
                  <c:v>9.1999999999999998E-2</c:v>
                </c:pt>
                <c:pt idx="5">
                  <c:v>8.2000000000000003E-2</c:v>
                </c:pt>
              </c:numCache>
            </c:numRef>
          </c:val>
          <c:smooth val="0"/>
        </c:ser>
        <c:ser>
          <c:idx val="1"/>
          <c:order val="1"/>
          <c:tx>
            <c:strRef>
              <c:f>Sheet1!$C$1</c:f>
              <c:strCache>
                <c:ptCount val="1"/>
                <c:pt idx="0">
                  <c:v>U.S.</c:v>
                </c:pt>
              </c:strCache>
            </c:strRef>
          </c:tx>
          <c:spPr>
            <a:ln>
              <a:solidFill>
                <a:schemeClr val="tx1">
                  <a:lumMod val="65000"/>
                  <a:lumOff val="35000"/>
                </a:schemeClr>
              </a:solidFill>
            </a:ln>
          </c:spPr>
          <c:marker>
            <c:symbol val="none"/>
          </c:marker>
          <c:cat>
            <c:numRef>
              <c:f>Sheet1!$A$2:$A$7</c:f>
              <c:numCache>
                <c:formatCode>General</c:formatCode>
                <c:ptCount val="6"/>
                <c:pt idx="0">
                  <c:v>2007</c:v>
                </c:pt>
                <c:pt idx="1">
                  <c:v>2008</c:v>
                </c:pt>
                <c:pt idx="2">
                  <c:v>2009</c:v>
                </c:pt>
                <c:pt idx="3">
                  <c:v>2010</c:v>
                </c:pt>
                <c:pt idx="4">
                  <c:v>2011</c:v>
                </c:pt>
                <c:pt idx="5">
                  <c:v>2012</c:v>
                </c:pt>
              </c:numCache>
            </c:numRef>
          </c:cat>
          <c:val>
            <c:numRef>
              <c:f>Sheet1!$C$2:$C$7</c:f>
              <c:numCache>
                <c:formatCode>0.00%</c:formatCode>
                <c:ptCount val="6"/>
                <c:pt idx="0">
                  <c:v>4.5999999999999999E-2</c:v>
                </c:pt>
                <c:pt idx="1">
                  <c:v>5.8000000000000003E-2</c:v>
                </c:pt>
                <c:pt idx="2">
                  <c:v>9.2999999999999999E-2</c:v>
                </c:pt>
                <c:pt idx="3">
                  <c:v>9.6000000000000002E-2</c:v>
                </c:pt>
                <c:pt idx="4">
                  <c:v>8.8999999999999996E-2</c:v>
                </c:pt>
                <c:pt idx="5">
                  <c:v>8.1000000000000003E-2</c:v>
                </c:pt>
              </c:numCache>
            </c:numRef>
          </c:val>
          <c:smooth val="0"/>
        </c:ser>
        <c:dLbls>
          <c:showLegendKey val="0"/>
          <c:showVal val="0"/>
          <c:showCatName val="0"/>
          <c:showSerName val="0"/>
          <c:showPercent val="0"/>
          <c:showBubbleSize val="0"/>
        </c:dLbls>
        <c:smooth val="0"/>
        <c:axId val="238285664"/>
        <c:axId val="238286048"/>
      </c:lineChart>
      <c:catAx>
        <c:axId val="238285664"/>
        <c:scaling>
          <c:orientation val="minMax"/>
        </c:scaling>
        <c:delete val="0"/>
        <c:axPos val="b"/>
        <c:numFmt formatCode="General" sourceLinked="1"/>
        <c:majorTickMark val="out"/>
        <c:minorTickMark val="none"/>
        <c:tickLblPos val="nextTo"/>
        <c:crossAx val="238286048"/>
        <c:crosses val="autoZero"/>
        <c:auto val="1"/>
        <c:lblAlgn val="ctr"/>
        <c:lblOffset val="100"/>
        <c:noMultiLvlLbl val="0"/>
      </c:catAx>
      <c:valAx>
        <c:axId val="238286048"/>
        <c:scaling>
          <c:orientation val="minMax"/>
          <c:min val="4.0000000000000008E-2"/>
        </c:scaling>
        <c:delete val="0"/>
        <c:axPos val="l"/>
        <c:majorGridlines/>
        <c:numFmt formatCode="0.00%" sourceLinked="1"/>
        <c:majorTickMark val="out"/>
        <c:minorTickMark val="none"/>
        <c:tickLblPos val="nextTo"/>
        <c:crossAx val="238285664"/>
        <c:crosses val="autoZero"/>
        <c:crossBetween val="between"/>
      </c:valAx>
    </c:plotArea>
    <c:legend>
      <c:legendPos val="r"/>
      <c:layout>
        <c:manualLayout>
          <c:xMode val="edge"/>
          <c:yMode val="edge"/>
          <c:x val="0.74215246636771304"/>
          <c:y val="0.46551724137931033"/>
          <c:w val="0.23542600896860988"/>
          <c:h val="0.2068965517241379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37F10-410F-43E8-8155-7682F3C5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8500</Words>
  <Characters>48450</Characters>
  <Application>Microsoft Office Word</Application>
  <DocSecurity>8</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2014 financial report</dc:subject>
  <dc:creator>kdarnall</dc:creator>
  <cp:lastModifiedBy>Sylvia Derrick</cp:lastModifiedBy>
  <cp:revision>4</cp:revision>
  <cp:lastPrinted>2015-02-04T20:04:00Z</cp:lastPrinted>
  <dcterms:created xsi:type="dcterms:W3CDTF">2015-06-04T18:49:00Z</dcterms:created>
  <dcterms:modified xsi:type="dcterms:W3CDTF">2015-06-04T18:51:00Z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